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Predicting US Drug Shortages Under Trade-Policy Stress</w:t>
      </w:r>
    </w:p>
    <w:p>
      <w:pPr>
        <w:spacing w:after="120"/>
        <w:jc w:val="both"/>
      </w:pPr>
      <w:r>
        <w:rPr>
          <w:i/>
          <w:iCs/>
          <w:color w:val="44546A"/>
          <w:sz w:val="24"/>
          <w:szCs w:val="24"/>
        </w:rPr>
        <w:t xml:space="preserve">Collaboration proposal with preliminary results — survival analysis, calibrated ML, and a clean null worth explaining</w:t>
      </w:r>
    </w:p>
    <w:p>
      <w:pPr>
        <w:spacing w:after="120"/>
        <w:jc w:val="both"/>
      </w:pPr>
      <w:r>
        <w:rPr>
          <w:b/>
          <w:bCs/>
        </w:rPr>
        <w:t xml:space="preserve">Anubhaw Goyal</w:t>
      </w:r>
      <w:r>
        <w:t xml:space="preserve">  ·  goyal.anubhaw@gmail.com  ·  12 June 2026 (v2 — supersedes the pre-results draft)</w:t>
      </w:r>
    </w:p>
    <w:p>
      <w:pPr>
        <w:pBdr>
          <w:bottom w:val="single" w:color="2E5395" w:sz="6" w:space="1"/>
        </w:pBdr>
        <w:spacing w:after="200"/>
      </w:pPr>
    </w:p>
    <w:p>
      <w:pPr>
        <w:pStyle w:val="Heading1"/>
      </w:pPr>
      <w:r>
        <w:t xml:space="preserve">Why I am writing to you</w:t>
      </w:r>
    </w:p>
    <w:p>
      <w:pPr>
        <w:spacing w:after="120"/>
        <w:jc w:val="both"/>
      </w:pPr>
      <w:r>
        <w:t xml:space="preserve">I am running an independent research project on predicting US drug shortages from public FDA and trade data, and I would like to invite you to join as a co-author. Since my first draft of this letter, the project has moved from design to results: the data pipeline is complete and the headline analyses have first-pass answers. What remains is exactly the work where a statistician's judgment matters most — inference robustness, calibration under temporal shift, and interval-censored survival refinement. I do the engineering and writing; your role would be methodological steering at roughly 1–2 hours per week, with co-authorship reflecting that contribution.</w:t>
      </w:r>
    </w:p>
    <w:p>
      <w:pPr>
        <w:pStyle w:val="Heading1"/>
      </w:pPr>
      <w:r>
        <w:t xml:space="preserve">The setup (one paragraph)</w:t>
      </w:r>
    </w:p>
    <w:p>
      <w:pPr>
        <w:spacing w:after="120"/>
        <w:jc w:val="both"/>
      </w:pPr>
      <w:r>
        <w:t xml:space="preserve">Unit of analysis: ingredient × dosage-form × month, 2018–2026. Outcomes are reconstructed from 44 Internet Archive snapshots of the FDA shortage database — onsets exact (posting dates), resolutions interval-censored between snapshots (median interval 101 days). Risk set: 4,017 marketed units from the Orange Book / NDC directory. Features: market structure (manufacturer counts, generic share, age), NADAC acquisition prices, and a trade-exposure block (import-origin concentration and China/India shares by HS-4 API heading from Census data, plus verified IEEPA and Section 232 tariff timelines). All public data; reproducible pipeline; evaluation is rolling-origin temporal only.</w:t>
      </w:r>
    </w:p>
    <w:p>
      <w:pPr>
        <w:pStyle w:val="Heading1"/>
      </w:pPr>
      <w:r>
        <w:t xml:space="preserve">Results to date — and the open inference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 methods question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Onset prediction (RQ1)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ROC-AUC 0.785 pooled out-of-sample (logistic; stable across 4 temporal folds). Base rate 0.04% makes precision inherently 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Decision-curve framing; calibration when the test era is a regime change by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 ablation (H3)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null on discrimination: ΔAUC +0.001, DeLong p = 0.88 (paired, identical rows). Brier improves (DM p &lt; 0.001) but rows are unit-clustered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Cluster-robust Diebold–Mariano before the Brier claim survives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 (RQ2)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 spell 28.8 months (robust 27.8–30.1 across censoring conventions); injectables longer (logrank p = 0.046); Cox concordance 0.601, no PH violations; origin-concentrated hormone APIs resolve slowest (HR 0.40, p = 0.08)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Proper interval-censored estimation vs midpoint; recurrent spells; competing risks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Honest negative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survival forest loses to penalized Cox (held-out concordance 0.536 vs 0.595) at n = 151 spells; LightGBM unstable at 79 test events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Presenting flexible-model failure informatively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The emerging thesis: </w:t>
      </w:r>
      <w:r>
        <w:rPr>
          <w:b/>
          <w:bCs/>
        </w:rPr>
        <w:t xml:space="preserve">tariff exposure shapes how long shortages last, not which products go short next.</w:t>
      </w:r>
      <w:r>
        <w:t xml:space="preserve"> The decisive remaining analysis is an event study around verified tariff dates (IEEPA on China: Feb/Mar 2025, reduced Nov 2025 — applies to generic/API supply chains; Section 232: proclaimed Apr 2026, patented products only, generics exempt). If the event study is also null, the paper becomes a well-powered cautionary result on a question currently answered with anecdotes; if positive, it is the headline.</w:t>
      </w:r>
    </w:p>
    <w:p>
      <w:pPr>
        <w:pStyle w:val="Heading1"/>
      </w:pPr>
      <w:r>
        <w:t xml:space="preserve">What I would ask of you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Inference: cluster-robust forecast-comparison tests; multiple-testing discipline across hypotheses.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Survival: interval-censored and recurrent-event refinements; whether competing-risks framing earns its complexity.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Calibration: defensible recalibration and reporting under deliberate distribution shift.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Framing and venue judgment: arXiv (stat.AP/econ.GN) ~late August 2026, then journal (HCMS, IJPE, Annals of Applied Statistics if the methods angle deepens).</w:t>
      </w:r>
    </w:p>
    <w:p>
      <w:pPr>
        <w:pStyle w:val="Heading1"/>
      </w:pPr>
      <w:r>
        <w:t xml:space="preserve">Logistics</w:t>
      </w:r>
    </w:p>
    <w:p>
      <w:pPr>
        <w:spacing w:after="120"/>
        <w:jc w:val="both"/>
      </w:pPr>
      <w:r>
        <w:t xml:space="preserve">All code is in a private GitHub repository (reproducible Python, pinned environment, temporal-validation-only rule), shared on reply. Weekly reports document every result above including failed approaches. I am ~5 weeks ahead of my original 10-week plan at 25–30 hrs/week. I would value 30 minutes to walk you through the design and the open inference questions.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Best regards,</w:t>
      </w:r>
    </w:p>
    <w:p>
      <w:pPr>
        <w:spacing w:after="120"/>
        <w:jc w:val="both"/>
      </w:pPr>
      <w:r>
        <w:rPr>
          <w:b/>
          <w:bCs/>
        </w:rPr>
        <w:t xml:space="preserve">Anubhaw Goyal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Goyal — Research collaboration proposal v2 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2026-06-12T20:02:18.995Z</dcterms:created>
  <dcterms:modified xsi:type="dcterms:W3CDTF">2026-06-12T20:02:18.995Z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