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Drug Shortage Forecasting Under Trade-Policy Stress</w:t>
      </w:r>
    </w:p>
    <w:p>
      <w:pPr>
        <w:spacing w:after="120"/>
        <w:jc w:val="both"/>
      </w:pPr>
      <w:r>
        <w:rPr>
          <w:i/>
          <w:iCs/>
          <w:color w:val="44546A"/>
          <w:sz w:val="24"/>
          <w:szCs w:val="24"/>
        </w:rPr>
        <w:t xml:space="preserve">Consolidated project report — Weeks 1–7 (research design through headline ablation)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  <w:r>
        <w:t xml:space="preserve">  ·  12 June 2026  ·  Repo: github.com/AnubhawGoyal/drug-shortage-forecasting-</w:t>
      </w:r>
    </w:p>
    <w:p>
      <w:pPr>
        <w:pBdr>
          <w:bottom w:val="single" w:color="2E5395" w:sz="6" w:space="1"/>
        </w:pBdr>
        <w:spacing w:after="200"/>
      </w:pPr>
    </w:p>
    <w:p>
      <w:pPr>
        <w:pStyle w:val="Heading1"/>
      </w:pPr>
      <w:r>
        <w:t xml:space="preserve">Executive summary</w:t>
      </w:r>
    </w:p>
    <w:p>
      <w:pPr>
        <w:spacing w:after="120"/>
        <w:jc w:val="both"/>
      </w:pPr>
      <w:r>
        <w:t xml:space="preserve">An independent research project predicting US drug shortages from public data, targeting an arXiv preprint (stat.AP/econ.GN) and journal expansion. Seven weeks of planned work are complete (~5 weeks ahead of schedule). Headline state: onset prediction reaches </w:t>
      </w:r>
      <w:r>
        <w:rPr>
          <w:b/>
          <w:bCs/>
        </w:rPr>
        <w:t xml:space="preserve">ROC-AUC 0.785</w:t>
      </w:r>
      <w:r>
        <w:t xml:space="preserve"> out-of-sample; the central hypothesis test returns a </w:t>
      </w:r>
      <w:r>
        <w:rPr>
          <w:b/>
          <w:bCs/>
        </w:rPr>
        <w:t xml:space="preserve">rigorous null — trade/tariff exposure does not improve onset prediction (ΔAUC +0.001, DeLong p = 0.88)</w:t>
      </w:r>
      <w:r>
        <w:t xml:space="preserve"> — while duration analysis shows trade structure correlating with shortage persistence. Emerging thesis: </w:t>
      </w:r>
      <w:r>
        <w:rPr>
          <w:b/>
          <w:bCs/>
        </w:rPr>
        <w:t xml:space="preserve">tariff exposure shapes how long shortages last, not which products go short next.</w:t>
      </w:r>
      <w:r>
        <w:t xml:space="preserve"> The decisive event study around 2025–26 tariff dates is queued for week 8.</w:t>
      </w:r>
    </w:p>
    <w:p>
      <w:pPr>
        <w:pStyle w:val="Heading1"/>
      </w:pPr>
      <w:r>
        <w:t xml:space="preserve">Research questions and hypotheses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RQ1: </w:t>
      </w:r>
      <w:r>
        <w:t xml:space="preserve">Which product/market-structure features predict shortage onset within 6 months? — answered: discrimination ROC ≈ 0.78, precision inherently low at 0.04% base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RQ2: </w:t>
      </w:r>
      <w:r>
        <w:t xml:space="preserve">What determines shortage duration? — median 28.8 months; injectables and origin-concentrated APIs persist longest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RQ3/H3: </w:t>
      </w:r>
      <w:r>
        <w:t xml:space="preserve">Does trade exposure add predictive power? — null for onset discrimination; duration channel and event study still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RQ4: </w:t>
      </w:r>
      <w:r>
        <w:t xml:space="preserve">Are predictions decision-grade? — calibration + decision curves queued (week 8)</w:t>
      </w:r>
    </w:p>
    <w:p>
      <w:pPr>
        <w:pStyle w:val="Heading1"/>
      </w:pPr>
      <w:r>
        <w:t xml:space="preserve">Data assets (all public, ~12M rows cached)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0"/>
        <w:gridCol w:w="18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FDA Drug Shortages (live + openFDA)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shortage records, reasons, dates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1,671 records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 Archive — 44 snapshots of FDA database, 2019–2026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shortage states → spell reconstruction (the key data innovation: live database retains only 29 resolved records)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 ingredient spells; 372 form-level spells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FDA Orange Book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Products, applicants, approval dates, generic 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48k products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openFDA NDC directory + Drugs@FDA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Entity-resolution spine, pharm classes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136k + 29k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Medicaid NADAC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acquisition prices 2018–2026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11.7M rows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Census trade (HS 30, 2936–2942)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imports by origin country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47k rows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timelines (verified)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IEEPA China 10/20/10% (2025); §232 0–100% tiered, patented only, generics exempt (Apr 2026)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Week-by-week record</w:t>
      </w:r>
    </w:p>
    <w:p>
      <w:pPr>
        <w:pStyle w:val="Heading2"/>
      </w:pPr>
      <w:r>
        <w:t xml:space="preserve">Week 1 — Proposal, scaffold, acquisition (12 Jun)</w:t>
      </w:r>
    </w:p>
    <w:p>
      <w:pPr>
        <w:spacing w:after="120"/>
        <w:jc w:val="both"/>
      </w:pPr>
      <w:r>
        <w:t xml:space="preserve">Committed research proposal (questions, hypotheses, evaluation protocol, Gantt). Reproducible Python repo (pinned deps, ruff, tiered data architecture). Seven-source pull pipeline with resumable caching; ~12M rows cached. All API credentials verified (openFDA, Census, USITC).</w:t>
      </w:r>
    </w:p>
    <w:p>
      <w:pPr>
        <w:pStyle w:val="Heading2"/>
      </w:pPr>
      <w:r>
        <w:t xml:space="preserve">Week 2 — Entity resolution</w:t>
      </w:r>
    </w:p>
    <w:p>
      <w:pPr>
        <w:spacing w:after="120"/>
        <w:jc w:val="both"/>
      </w:pPr>
      <w:r>
        <w:t xml:space="preserve">Three-tier ingredient matching (exact / salt-stripped / component-wise for combinations) + biologic flagging. Coverage: Orange Book 94.7% of shortage records, NDC directory 98.7%; every residual explained (biologics → Purple Book; parenteral-nutrition components). Key data finding: openFDA shortage endpoint is a snapshot — historical spells require reconstruction.</w:t>
      </w:r>
    </w:p>
    <w:p>
      <w:pPr>
        <w:pStyle w:val="Heading2"/>
      </w:pPr>
      <w:r>
        <w:t xml:space="preserve">Verification audit</w:t>
      </w:r>
    </w:p>
    <w:p>
      <w:pPr>
        <w:spacing w:after="120"/>
        <w:jc w:val="both"/>
      </w:pPr>
      <w:r>
        <w:t xml:space="preserve">Every load-bearing claim checked against primary sources. Three corrections: the '200% pharma tariff' was a 2025 threat never enacted (actual: §232 0–100% tiered, patented only, generics exempt 'at this time'); the generic-drug tariff channel is IEEPA China tariffs (10–20% 2025, 10% from Nov 2025) plus §232 anticipation; the South Korea ML study is 2025, not 2026. Novelty of our niche confirmed intact (closest works: Canada 2023, South Korea 2025, ShortageSim simulation).</w:t>
      </w:r>
    </w:p>
    <w:p>
      <w:pPr>
        <w:pStyle w:val="Heading2"/>
      </w:pPr>
      <w:r>
        <w:t xml:space="preserve">Week 3 — Spell reconstruction + panel v1</w:t>
      </w:r>
    </w:p>
    <w:p>
      <w:pPr>
        <w:spacing w:after="120"/>
        <w:jc w:val="both"/>
      </w:pPr>
      <w:r>
        <w:t xml:space="preserve">Wayback Machine snapshot diffing: 360 ingredient-level spells, onsets exact, resolutions interval-censored (median width 101 days); 83 shortage ingredients invisible in today's database recovered. Panel: 1,556 OB ingredients × 102 months = 143k rows, leak-free trailing features. ASPE replication: 324 vs 258 ingredients (we include OTC/biologics), injectable concentration confirmed (16.9% vs 5.1% ever-shortage). Honest finding: raw manufacturer-count effect is confounded by market size — H1 requires within-class testing.</w:t>
      </w:r>
    </w:p>
    <w:p>
      <w:pPr>
        <w:pStyle w:val="Heading2"/>
      </w:pPr>
      <w:r>
        <w:t xml:space="preserve">Week 4 — Trade features + panel v2</w:t>
      </w:r>
    </w:p>
    <w:p>
      <w:pPr>
        <w:spacing w:after="120"/>
        <w:jc w:val="both"/>
      </w:pPr>
      <w:r>
        <w:t xml:space="preserve">Ingredient → HS-4 API heading mapping via pharmacological class (vitamins/hormones/alkaloids/antibiotics/other). Census origin mix per heading (bug caught: EU/NATO aggregate rows inflated denominators ~3×; corrected shares match known patterns — China 38% of vitamin imports, 26% antibiotics; India 40% other organics; hormones HHI 0.66). Policy series + china_tariff_exposure interaction. Panel v2 frozen.</w:t>
      </w:r>
    </w:p>
    <w:p>
      <w:pPr>
        <w:pStyle w:val="Heading2"/>
      </w:pPr>
      <w:r>
        <w:t xml:space="preserve">Week 5 — Survival analysis (RQ2)</w:t>
      </w:r>
    </w:p>
    <w:p>
      <w:pPr>
        <w:spacing w:after="120"/>
        <w:jc w:val="both"/>
      </w:pPr>
      <w:r>
        <w:t xml:space="preserve">151 spells with onset ≥2018 and features. KM: median 28.8 months, robust to censoring convention; injectable 31.1 vs 24.4 months (logrank p = 0.046). Cox: concordance 0.601, no PH violations; hormones (most origin-concentrated heading) resolve slowest, HR 0.40, p = 0.08 — the first trade-structure signal. Honest negative: random survival forest (0.536) loses to Cox (0.595) held-out; survival section rests on KM + Cox.</w:t>
      </w:r>
    </w:p>
    <w:p>
      <w:pPr>
        <w:pStyle w:val="Heading2"/>
      </w:pPr>
      <w:r>
        <w:t xml:space="preserve">Week 6 — Onset classification (RQ1)</w:t>
      </w:r>
    </w:p>
    <w:p>
      <w:pPr>
        <w:spacing w:after="120"/>
        <w:jc w:val="both"/>
      </w:pPr>
      <w:r>
        <w:t xml:space="preserve">External validation of test design: FDA recorded just 15 new shortages in CY2024, ASHP 89 in 2025 (20-year low) — matching our reconstruction and forcing 4-fold rolling-origin evaluation (2021/22/23/24–25). NADAC price block added to the panel. Ingredient level: logistic ROC 0.676 stable across folds; LightGBM fails at 131 training positives. Decision taken: rebuild at finer granularity.</w:t>
      </w:r>
    </w:p>
    <w:p>
      <w:pPr>
        <w:pStyle w:val="Heading2"/>
      </w:pPr>
      <w:r>
        <w:t xml:space="preserve">Week 7 — Form-level rebuild + formal H3 test</w:t>
      </w:r>
    </w:p>
    <w:p>
      <w:pPr>
        <w:spacing w:after="120"/>
        <w:jc w:val="both"/>
      </w:pPr>
      <w:r>
        <w:t xml:space="preserve">Company-level units rejected (35% name match between FDA companies and NDC labelers); ingredient × dosage-form chosen: 320 onsets ≥2018, 4,017-unit risk set, 410k-row panel. Discrimination improved to </w:t>
      </w:r>
      <w:r>
        <w:rPr>
          <w:b/>
          <w:bCs/>
        </w:rPr>
        <w:t xml:space="preserve">ROC 0.785</w:t>
      </w:r>
      <w:r>
        <w:t xml:space="preserve">. Formal paired tests on identical row sets (n = 223,740; 79 events): </w:t>
      </w:r>
      <w:r>
        <w:rPr>
          <w:b/>
          <w:bCs/>
        </w:rPr>
        <w:t xml:space="preserve">ΔAUC +0.001, DeLong p = 0.88 — trade features add no onset discrimination.</w:t>
      </w:r>
      <w:r>
        <w:t xml:space="preserve"> Brier improves significantly (DM p &lt; 0.001) but the naive DM ignores unit clustering — cluster-robust version queued before any claim. LightGBM unstable at 79 events (reported as such).</w:t>
      </w:r>
    </w:p>
    <w:p>
      <w:pPr>
        <w:pStyle w:val="Heading1"/>
      </w:pPr>
      <w:r>
        <w:t xml:space="preserve">Current narrative</w:t>
      </w:r>
    </w:p>
    <w:p>
      <w:pPr>
        <w:spacing w:after="120"/>
        <w:jc w:val="both"/>
      </w:pPr>
      <w:r>
        <w:t xml:space="preserve">Public market-structure and price data predict which drug products are at structural risk of shortage reasonably well (ROC ≈ 0.78), but trade/tariff exposure adds nothing at the 6-month prediction margin — a clean, well-documented null on a question of active policy debate. Meanwhile trade structure correlates with shortage persistence (origin-concentrated APIs resolve slowest). The week-8 event study around IEEPA (Feb/Mar 2025, Nov 2025) and §232 (Apr 2026) dates decides whether the causal margin is also null — either outcome supports a publishable paper, with framing adjusted accordingly.</w:t>
      </w:r>
    </w:p>
    <w:p>
      <w:pPr>
        <w:pStyle w:val="Heading1"/>
      </w:pPr>
      <w:r>
        <w:t xml:space="preserve">Known limitations (tracked honestly)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exposure mapped at HS-4 class level (v1); upgrade path: FDA establishment registrations for ingredient-specific foreign-sourcing.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shares are value-based; understate China relative to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Resolution dates interval-censored (~3-month median precision); 2022 has a single archive 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Naive DM on Brier pending cluster-robust check; calibration under regime shift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Post-2020 new-onset scarcity (real-world) limits test-era power; 79 pooled events.</w:t>
      </w:r>
    </w:p>
    <w:p>
      <w:pPr>
        <w:pStyle w:val="Heading1"/>
      </w:pPr>
      <w:r>
        <w:t xml:space="preserve">Status vs plan</w:t>
      </w:r>
    </w:p>
    <w:p>
      <w:pPr>
        <w:spacing w:after="120"/>
        <w:jc w:val="both"/>
      </w:pPr>
      <w:r>
        <w:t xml:space="preserve">Weeks 1–7 of the 10-week aggressive plan are complete in elapsed week ~1 of the calendar (≈5 weeks ahead). Remaining: week 8 robustness + event study + decision curves; weeks 9–10 writing → arXiv (~21 Aug target, likely beatable). Outstanding user actions: professor outreach (proposal v2 ready), arXiv account + endorsement, affiliation decision.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Drug Shortage Forecasting — Project Report, Weeks 1–7 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2026-06-12T20:03:12.053Z</dcterms:created>
  <dcterms:modified xsi:type="dcterms:W3CDTF">2026-06-12T20:03:12.053Z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