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Predicting US Drug Shortages Under Trade-Policy Stress</w:t>
      </w:r>
    </w:p>
    <w:p>
      <w:pPr>
        <w:spacing w:after="120"/>
        <w:jc w:val="both"/>
      </w:pPr>
      <w:r>
        <w:rPr>
          <w:i/>
          <w:iCs/>
          <w:color w:val="44546A"/>
          <w:sz w:val="24"/>
          <w:szCs w:val="24"/>
        </w:rPr>
        <w:t xml:space="preserve">Invitation to co-author: complete draft attached, seeking methodological review and arXiv endorsement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  <w:r>
        <w:t xml:space="preserve">  ·  goyal.anubhaw@gmail.com  ·  June 2026 (v3 — full paper draft now attached)</w:t>
      </w:r>
    </w:p>
    <w:p>
      <w:pPr>
        <w:pBdr>
          <w:bottom w:val="single" w:color="2E5395" w:sz="6" w:space="1"/>
        </w:pBdr>
        <w:spacing w:after="200"/>
      </w:pPr>
    </w:p>
    <w:p>
      <w:pPr>
        <w:pStyle w:val="Heading1"/>
      </w:pPr>
      <w:r>
        <w:t xml:space="preserve">The short version</w:t>
      </w:r>
    </w:p>
    <w:p>
      <w:pPr>
        <w:spacing w:after="120"/>
        <w:jc w:val="both"/>
      </w:pPr>
      <w:r>
        <w:t xml:space="preserve">I have completed a full draft of an empirical paper — </w:t>
      </w:r>
      <w:r>
        <w:rPr>
          <w:b/>
          <w:bCs/>
        </w:rPr>
        <w:t xml:space="preserve">“Predicting US Drug Shortages Under Trade-Policy Stress: A Multi-Margin Evaluation of Tariff Exposure”</w:t>
      </w:r>
      <w:r>
        <w:t xml:space="preserve"> (7 pages, attached as main.pdf) — and I am inviting you to join as co-author. The analysis is finished and internally verified; what the paper needs before arXiv submission is exactly a statistician's review of four specific methodological choices, listed below. I estimate the review at 3–5 hours total, plus whatever revisions you judge necessary. I will do all implementation and rewriting.</w:t>
      </w:r>
    </w:p>
    <w:p>
      <w:pPr>
        <w:pStyle w:val="Heading1"/>
      </w:pPr>
      <w:r>
        <w:t xml:space="preserve">What the paper shows (multi-margin evaluation, all public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Margin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 within 6 months: ROC-AUC 0.785 under rolling-origin temporal validation. Trade features add nothing: ΔAUC +0.001, DeLong p = 0.88; the apparent Brier gain vanishes after isotonic recalibration (ECE ≤ 0.001)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spell 28.8 months (robust to interval-censoring convention); injectables persist longer (logrank p = 0.046); origin-concentrated hormone APIs resolve slowest (HR 0.40, p = 0.08)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Quasi-causal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DiD around the Feb-2025 IEEPA China tariffs: no detectable differential onset (p = 0.53) or resolution (p = 0.50) effect through Jun 2026 — power limits documented (modest dose, generics exempt from §232, 16-month window)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relevance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Recalibrated probabilities are decision-grade as a ranking tool; positive net benefit only in normal-event regimes (2022–23), not the 2024–25 onset drought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Thesis: </w:t>
      </w:r>
      <w:r>
        <w:rPr>
          <w:b/>
          <w:bCs/>
        </w:rPr>
        <w:t xml:space="preserve">tariffs haven't (yet) moved US drug shortages — but origin concentration predicts which shortages persist.</w:t>
      </w:r>
      <w:r>
        <w:t xml:space="preserve"> A data novelty underpins it: shortage history is reconstructed from 44 Internet Archive snapshots of the FDA database (the live database retains only 29 resolved records), giving exact onsets and interval-censored resolutions.</w:t>
      </w:r>
    </w:p>
    <w:p>
      <w:pPr>
        <w:pStyle w:val="Heading1"/>
      </w:pPr>
      <w:r>
        <w:t xml:space="preserve">The four things I would ask you to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Clustered forecast comparison. </w:t>
      </w:r>
      <w:r>
        <w:t xml:space="preserve">My Diebold–Mariano on Brier uses unit-clustered means (3,938 clusters). Is this defensible, or should I use a different clustered scoring-rule comparison?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Interval-censored survival. </w:t>
      </w:r>
      <w:r>
        <w:t xml:space="preserve">KM/Cox currently use the midpoint convention with lower/upper sensitivity (results stable). Should the paper upgrade to a proper interval-censored estimator (e.g., Turnbull / icenReg-style), and is the recurrent-spell structure worth modeling?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Mechanical-null disclosure. </w:t>
      </w:r>
      <w:r>
        <w:t xml:space="preserve">Tariff-policy features have zero pre-2025 variation, so they cannot contribute to models trained ≤2023; I flag the ablation null as partially mechanical for policy features and lean on the event study instead. Is the framing right?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Event-study power. </w:t>
      </w:r>
      <w:r>
        <w:t xml:space="preserve">79 pooled events; DiD CIs are wide. How should the paper quantify and present minimum detectable effects so the null is read correctly?</w:t>
      </w:r>
    </w:p>
    <w:p>
      <w:pPr>
        <w:pStyle w:val="Heading1"/>
      </w:pPr>
      <w:r>
        <w:t xml:space="preserve">What I am asking for, concretely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Co-authorship, with contribution = methodological review and revisions you direct.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arXiv endorsement for stat.AP or econ.GN (under arXiv's 2026 policy I need personal endorsement as a first-time submitter; the system generates a code I would send you — two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Venue judgment after arXiv: HCMS, IJPE, or Annals of Applied Statistics if we deepen the methods.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Everything is reproducible from a public-data pipeline (private GitHub repo shared on reply; goes public at submission). Every number in the paper is programmatically verified against cached experiment outputs. If the paper interests you but you would frame it differently, I am open to that conversation — the timeline has ~6 weeks of slack against my original target.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Best regards,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Goyal — Research collaboration proposal v3 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2026-06-12T20:27:02.619Z</dcterms:created>
  <dcterms:modified xsi:type="dcterms:W3CDTF">2026-06-12T20:27:02.619Z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