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Predicting US Drug Shortages Under Trade-Policy Stress</w:t>
      </w:r>
    </w:p>
    <w:p>
      <w:pPr>
        <w:spacing w:after="120"/>
        <w:jc w:val="both"/>
      </w:pPr>
      <w:r>
        <w:rPr>
          <w:i/>
          <w:iCs/>
          <w:color w:val="44546A"/>
          <w:sz w:val="24"/>
          <w:szCs w:val="24"/>
        </w:rPr>
        <w:t xml:space="preserve">A survival-analysis and calibrated machine-learning study on public FDA and trade data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  <w:r>
        <w:t xml:space="preserve">  ·  goyal.anubhaw@gmail.com  ·  12 June 2026</w:t>
      </w:r>
    </w:p>
    <w:p>
      <w:pPr>
        <w:pBdr>
          <w:bottom w:val="single" w:color="2E5395" w:sz="6" w:space="1"/>
        </w:pBdr>
        <w:spacing w:after="200"/>
      </w:pPr>
    </w:p>
    <w:p>
      <w:pPr>
        <w:pStyle w:val="Heading1"/>
      </w:pPr>
      <w:r>
        <w:t xml:space="preserve">Why I am writing to you</w:t>
      </w:r>
    </w:p>
    <w:p>
      <w:pPr>
        <w:spacing w:after="120"/>
        <w:jc w:val="both"/>
      </w:pPr>
      <w:r>
        <w:t xml:space="preserve">I am developing an independent research project at the intersection of forecasting, supply chains, and applied statistics, and I would like to invite you to collaborate on it as a co-author. The project is already in execution: the research design is fixed, the data pipeline is built, and the first data milestone is complete. What it would benefit from most is your methodological depth — particularly in survival modeling, probabilistic calibration, and the statistical testing that makes a predictive-modeling paper credible to reviewers. I believe the project offers a favorable effort-to-contribution ratio for you: the engineering work is done and ongoing on my side, while the statistical design choices are where your input would have the highest leverage.</w:t>
      </w:r>
    </w:p>
    <w:p>
      <w:pPr>
        <w:pStyle w:val="Heading1"/>
      </w:pPr>
      <w:r>
        <w:t xml:space="preserve">The problem and the gap</w:t>
      </w:r>
    </w:p>
    <w:p>
      <w:pPr>
        <w:spacing w:after="120"/>
        <w:jc w:val="both"/>
      </w:pPr>
      <w:r>
        <w:t xml:space="preserve">US drug shortages remain at historically elevated levels — the HHS/ASPE 2025 data brief documents 258 active-ingredient shortages spanning 1,961 drug products over 2018–2023, concentrated in low-price generic sterile injectables. Since 2025, US pharmaceutical tariffs have introduced a new supply-side stressor, while roughly 72% of active-pharmaceutical-ingredient (API) manufacturing facilities serving the US market are overseas, concentrated in China and India.</w:t>
      </w:r>
    </w:p>
    <w:p>
      <w:pPr>
        <w:spacing w:after="120"/>
        <w:jc w:val="both"/>
      </w:pPr>
      <w:r>
        <w:t xml:space="preserve">Existing predictive work (Pall et al. 2023 on Canadian pharmacy data; a 2026 South Korean ML study) uses domestic market-structure features only. </w:t>
      </w:r>
      <w:r>
        <w:rPr>
          <w:b/>
          <w:bCs/>
        </w:rPr>
        <w:t xml:space="preserve">No published study predicts US shortages from FDA/ASHP data with a survival + ML framework, and none tests whether trade-policy exposure carries predictive signal.</w:t>
      </w:r>
      <w:r>
        <w:t xml:space="preserve"> That combination is the gap, and the trade-exposure ablation is the headline result.</w:t>
      </w:r>
    </w:p>
    <w:p>
      <w:pPr>
        <w:pStyle w:val="Heading1"/>
      </w:pPr>
      <w:r>
        <w:t xml:space="preserve">Research questions and formal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RQ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Hypothesis /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RQ1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product- and market-structure features predict shortage onset within k months?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Gradient-boosted classifiers vs logistic baseline; rolling-origin temporal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RQ2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determines shortage duration?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Survival framing: Cox PH (Schoenfeld checks), random survival forests; concordance, integrated Brier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RQ3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trade exposure add predictive power beyond domestic features?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H: ΔAUC &gt; 0 (DeLong), ΔBrier &lt; 0 (Diebold–Mariano), α = 0.05; SHAP attribution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RQ4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predicted probabilities decision-grade?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H: ECE ≤ 0.05 after recalibration; decision-curve analysis at top-decile alert threshold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Supporting hypotheses: low-manufacturer-count, low-price generic injectables carry the highest shortage hazard (consistent with ASPE descriptives); and ingredients with API sourcing concentrated in tariff-affected countries show elevated hazard after the 2025 tariff regime, assessed with an event-study/difference-in-differences design as supporting (not headline-causal) evidence.</w:t>
      </w:r>
    </w:p>
    <w:p>
      <w:pPr>
        <w:pStyle w:val="Heading1"/>
      </w:pPr>
      <w:r>
        <w:t xml:space="preserve">Data — already acquired</w:t>
      </w:r>
    </w:p>
    <w:p>
      <w:pPr>
        <w:spacing w:after="120"/>
        <w:jc w:val="both"/>
      </w:pPr>
      <w:r>
        <w:t xml:space="preserve">Unit of analysis: an active-ingredient × month panel, January 2018 – June 2026. All sources are public; the week-1 acquisition pipeline is built, and the raw cache (~12 million rows) is complete: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Outcomes: </w:t>
      </w:r>
      <w:r>
        <w:t xml:space="preserve">FDA Drug Shortage database (1,671 shortage records, onset/resolution dates, reason codes)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 structure: </w:t>
      </w:r>
      <w:r>
        <w:t xml:space="preserve">FDA Orange Book (48k products: manufacturer counts, therapeutic equivalence), Drugs@FDA (29k applications), openFDA NDC directory (136k products — the entity-resolution spine)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Prices: </w:t>
      </w:r>
      <w:r>
        <w:t xml:space="preserve">NADAC acquisition-cost series, 11.7M weekly NDC-level observations, 2018–2026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exposure: </w:t>
      </w:r>
      <w:r>
        <w:t xml:space="preserve">US Census monthly imports by HS code × origin country (finished pharma HS 30; API headings HS 2936–2942), plus FDA establishment registrations for foreign-sourcing proxies</w:t>
      </w:r>
    </w:p>
    <w:p>
      <w:pPr>
        <w:spacing w:after="120"/>
        <w:jc w:val="both"/>
      </w:pPr>
      <w:r>
        <w:t xml:space="preserve">The known hard part is entity resolution (shortage ↔ Orange Book ↔ NDC joins at ingredient level); this is engineering work I am doing now, de-risked by bootstrapping from ASPE's pre-structured 2018–2023 ingredient set.</w:t>
      </w:r>
    </w:p>
    <w:p>
      <w:pPr>
        <w:pStyle w:val="Heading1"/>
      </w:pPr>
      <w:r>
        <w:t xml:space="preserve">Where your expertise would matter most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Survival-model specification: handling recurrent shortage spells, time-varying covariates, and competing risks (resolution vs discontinuation); whether parametric or flexible hazard models earn their complexity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ablation inference: correct handling of dependence across overlapping forecast windows in DeLong/Diebold–Mariano-style comparisons on panel data, and what multiple-testing discipline to impose.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 methodology: recalibration under temporal distribution shift (the test window is the tariff era by design) and what calibration claims survive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Framing for a statistics/ML audience: positioning the paper so the methods contribution is legible, not just the application.</w:t>
      </w:r>
    </w:p>
    <w:p>
      <w:pPr>
        <w:pStyle w:val="Heading1"/>
      </w:pPr>
      <w:r>
        <w:t xml:space="preserve">Proposed working arrangement</w:t>
      </w:r>
    </w:p>
    <w:p>
      <w:pPr>
        <w:spacing w:after="120"/>
        <w:jc w:val="both"/>
      </w:pPr>
      <w:r>
        <w:t xml:space="preserve">I do the engineering, data work, and first-draft writing; we make design decisions jointly; you advise on the statistical methodology and review results, with co-authorship reflecting that contribution. I estimate your time commitment at roughly 1–2 hours per week (a recurring meeting or async review). I am committing 25–30 hours per week.</w:t>
      </w:r>
    </w:p>
    <w:p>
      <w:pPr>
        <w:pStyle w:val="Heading1"/>
      </w:pPr>
      <w:r>
        <w:t xml:space="preserve">Timeline and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+ entity resolution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1–4 (now–Jul 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 ingredient × month panel with trade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5–7 (Jul 13–Aug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Survival + onset models; ablation result locked with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Robustness + calibration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(Aug 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study, sensitivity runs, decision curves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 (Aug 10–21)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draft → arXiv preprint (stat.AP / econ.GN)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Strategy is arXiv-first (~21 August 2026), then expansion to a journal submission. Candidate venues: Health Care Management Science, International Journal of Production Economics, Annals of Applied Statistics (if the methods angle deepens), or AJHP for a pharmacist-facing decision-support companion piece. I am open to your judgment on the venue.</w:t>
      </w:r>
    </w:p>
    <w:p>
      <w:pPr>
        <w:pStyle w:val="Heading1"/>
      </w:pPr>
      <w:r>
        <w:t xml:space="preserve">Current status, concretely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proposal committed (research questions, hypotheses, evaluation protocol, Gantt).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Reproducible Python repository scaffolded: pinned environment, linting, tiered data architecture, temporal-validation-only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Week-1 data acquisition complete: ~12M rows cached across six public sources; resumable pull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resolution (week-2 milestone) in progress.</w:t>
      </w:r>
    </w:p>
    <w:p>
      <w:pPr>
        <w:spacing w:after="120"/>
        <w:jc w:val="both"/>
      </w:pPr>
      <w:r>
        <w:t xml:space="preserve">I would be glad to walk you through the design in a 30-minute conversation and share the full proposal document and repository. If the project interests you but the framing should shift toward your methodological agenda, I am very open to that conversation. Thank you for considering it.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Best regards,</w:t>
      </w:r>
    </w:p>
    <w:p>
      <w:pPr>
        <w:spacing w:after="120"/>
        <w:jc w:val="both"/>
      </w:pPr>
      <w:r>
        <w:rPr>
          <w:b/>
          <w:bCs/>
        </w:rPr>
        <w:t xml:space="preserve">Anubhaw Goyal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Goyal — Research collaboration proposal 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2026-06-12T13:56:45.205Z</dcterms:created>
  <dcterms:modified xsi:type="dcterms:W3CDTF">2026-06-12T13:56:45.205Z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