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64D" w:rsidRDefault="00CE470F" w:rsidP="0051464D">
      <w:pPr>
        <w:pStyle w:val="Heading1"/>
        <w:jc w:val="center"/>
        <w:rPr>
          <w:b/>
          <w:color w:val="44546A" w:themeColor="text2"/>
        </w:rPr>
      </w:pPr>
      <w:r w:rsidRPr="00CE470F">
        <w:rPr>
          <w:b/>
          <w:color w:val="44546A" w:themeColor="text2"/>
        </w:rPr>
        <w:t xml:space="preserve">Task:2: </w:t>
      </w:r>
      <w:r w:rsidRPr="00CE470F">
        <w:rPr>
          <w:b/>
          <w:color w:val="44546A" w:themeColor="text2"/>
        </w:rPr>
        <w:t>Data Visualization and Storytelling</w:t>
      </w:r>
    </w:p>
    <w:p w:rsidR="0051464D" w:rsidRDefault="0051464D" w:rsidP="0051464D">
      <w:pPr>
        <w:rPr>
          <w:b/>
          <w:color w:val="44546A" w:themeColor="text2"/>
        </w:rPr>
      </w:pPr>
      <w:r>
        <w:rPr>
          <w:b/>
        </w:rPr>
        <w:t>B</w:t>
      </w:r>
      <w:r w:rsidRPr="0051464D">
        <w:rPr>
          <w:b/>
        </w:rPr>
        <w:t xml:space="preserve">usiness </w:t>
      </w:r>
      <w:proofErr w:type="gramStart"/>
      <w:r w:rsidRPr="0051464D">
        <w:rPr>
          <w:b/>
        </w:rPr>
        <w:t xml:space="preserve">insights </w:t>
      </w:r>
      <w:r w:rsidR="00D50D55">
        <w:rPr>
          <w:b/>
        </w:rPr>
        <w:t>:</w:t>
      </w:r>
      <w:proofErr w:type="gramEnd"/>
      <w:r w:rsidR="00D50D55">
        <w:rPr>
          <w:b/>
        </w:rPr>
        <w:br/>
      </w:r>
      <w:r w:rsidRPr="0051464D">
        <w:rPr>
          <w:b/>
        </w:rPr>
        <w:t>for each of the four regions (Central, East, South, and West)</w:t>
      </w:r>
      <w:r w:rsidR="00CE470F">
        <w:rPr>
          <w:b/>
          <w:color w:val="44546A" w:themeColor="text2"/>
        </w:rPr>
        <w:br/>
      </w:r>
      <w:r>
        <w:rPr>
          <w:noProof/>
        </w:rPr>
        <w:drawing>
          <wp:inline distT="0" distB="0" distL="0" distR="0" wp14:anchorId="1D080ACF" wp14:editId="58936FF4">
            <wp:extent cx="2784764" cy="20795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03 1649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58" cy="21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AB7767F" wp14:editId="1B49CEF7">
            <wp:extent cx="2701290" cy="205881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03 1649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49" cy="21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BE" w:rsidRDefault="0051464D" w:rsidP="0051464D">
      <w:pPr>
        <w:pStyle w:val="Heading1"/>
        <w:rPr>
          <w:b/>
          <w:color w:val="44546A" w:themeColor="text2"/>
        </w:rPr>
      </w:pPr>
      <w:r>
        <w:rPr>
          <w:noProof/>
        </w:rPr>
        <w:drawing>
          <wp:inline distT="0" distB="0" distL="0" distR="0" wp14:anchorId="008969AF" wp14:editId="32A82143">
            <wp:extent cx="2815590" cy="173151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03 1649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77" cy="17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298127A" wp14:editId="0F09B0F5">
            <wp:extent cx="2788920" cy="1715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03 1649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49" cy="17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E0" w:rsidRDefault="008C4FE0" w:rsidP="008C4FE0">
      <w:r>
        <w:t>Central Region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Sales &amp; Category Focus: $341 K total sales (27 K profit), led by Office Supplies (44% share); top states include Illinois, Missouri, and Michigan.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Payment &amp; Segment Mix: COD (41%) and Online (39%) dominate—opportunity to incentivize card payments to reduce COD-related costs.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Seasonal Trends: December 2020 saw a big YoY sales spike—recommend Q4 bundles (e.g., Chairs + Binders) and stock high-demand SKUs earlier.</w:t>
      </w:r>
    </w:p>
    <w:p w:rsidR="008C4FE0" w:rsidRDefault="008C4FE0" w:rsidP="008C4FE0">
      <w:r>
        <w:t>East Region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Performance &amp; Categories: $450 K sales (53 K profit), with Technology ($140 K) rising behind Office Supplies; strongest states are NY/NJ/PA.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 xml:space="preserve">Payment &amp; B2B: COD (44%) still dominant; test “5% online pre-pay” to shift </w:t>
      </w:r>
      <w:proofErr w:type="spellStart"/>
      <w:r>
        <w:t>behaviors</w:t>
      </w:r>
      <w:proofErr w:type="spellEnd"/>
      <w:r>
        <w:t>; Corporate makes up 31%, so push an “Office Essentials” package to businesses.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Holiday Surge: Sharp YoY sales and profit jumps in November/December 2020—leverage early-bird Black Friday promos and highlight express shipping for tech bundles</w:t>
      </w:r>
    </w:p>
    <w:p w:rsidR="008C4FE0" w:rsidRDefault="008C4FE0" w:rsidP="008C4FE0">
      <w:r>
        <w:t>South Region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Lower Base &amp; Categories: $252 K sales (27 K profit), led by Office Supplies; Phones ($36 K) outpace Chairs/Tables, but overall revenue trails other regions.</w:t>
      </w:r>
    </w:p>
    <w:p w:rsidR="008C4FE0" w:rsidRDefault="008C4FE0" w:rsidP="008C4FE0">
      <w:pPr>
        <w:pStyle w:val="ListParagraph"/>
        <w:numPr>
          <w:ilvl w:val="0"/>
          <w:numId w:val="1"/>
        </w:numPr>
      </w:pPr>
      <w:r>
        <w:t>Payment &amp; Segment Opportunity: COD (44%) is high—offer “5% off online pre-pay”; Consumer accounts for 54%, Corporate only 30%—target B2B outreach in TX, FL, GA.</w:t>
      </w:r>
    </w:p>
    <w:p w:rsidR="00C15F22" w:rsidRDefault="008C4FE0" w:rsidP="008C4FE0">
      <w:pPr>
        <w:pStyle w:val="ListParagraph"/>
        <w:numPr>
          <w:ilvl w:val="0"/>
          <w:numId w:val="1"/>
        </w:numPr>
      </w:pPr>
      <w:r>
        <w:lastRenderedPageBreak/>
        <w:t>Mid-Year Lull: Sales dip July–October 2020—run mid-summer/back-to-school promos (e.g., Table + Storage bundles) to smooth out seasonality</w:t>
      </w:r>
    </w:p>
    <w:p w:rsidR="00C15F22" w:rsidRDefault="00C15F22" w:rsidP="00C15F22">
      <w:r>
        <w:t>West Region</w:t>
      </w:r>
    </w:p>
    <w:p w:rsidR="00C15F22" w:rsidRDefault="00C15F22" w:rsidP="00C15F22">
      <w:pPr>
        <w:pStyle w:val="ListParagraph"/>
        <w:numPr>
          <w:ilvl w:val="0"/>
          <w:numId w:val="4"/>
        </w:numPr>
      </w:pPr>
      <w:r>
        <w:t>Top Performer &amp; Balanced Categories: $522 K sales (68 K profit); Office Supplies ($200 K), Technology ($160 K), and Furniture ($160 K) are almost equal—CA is the big driver.</w:t>
      </w:r>
    </w:p>
    <w:p w:rsidR="00C15F22" w:rsidRDefault="00C15F22" w:rsidP="00C15F22">
      <w:pPr>
        <w:pStyle w:val="ListParagraph"/>
        <w:numPr>
          <w:ilvl w:val="0"/>
          <w:numId w:val="4"/>
        </w:numPr>
      </w:pPr>
      <w:r>
        <w:t>Corporate &amp; Shipping: Highest Corporate share (35%)—offer volume discounts for businesses; many customers pay for First Class/Same Day, so highlight “Express Ship + Priority Support.”</w:t>
      </w:r>
    </w:p>
    <w:p w:rsidR="00C15F22" w:rsidRDefault="00C15F22" w:rsidP="00C15F22">
      <w:pPr>
        <w:pStyle w:val="ListParagraph"/>
        <w:numPr>
          <w:ilvl w:val="0"/>
          <w:numId w:val="4"/>
        </w:numPr>
      </w:pPr>
      <w:r>
        <w:t>Q4 Peak: December 2020 nearly $110 K—a major year-end surge—focus on holiday Tech/Furniture bundles and consider “click-and-collect” for COD shoppers.</w:t>
      </w:r>
      <w:r w:rsidR="00D50D55">
        <w:br/>
      </w:r>
      <w:r w:rsidR="00D50D55">
        <w:br/>
      </w:r>
      <w:r w:rsidR="00D50D55" w:rsidRPr="00D50D55">
        <w:rPr>
          <w:b/>
        </w:rPr>
        <w:t>Central Region – S</w:t>
      </w:r>
      <w:r w:rsidR="00DE0264">
        <w:rPr>
          <w:b/>
        </w:rPr>
        <w:t>ales by subcategory</w:t>
      </w:r>
      <w:r w:rsidR="00D50D55">
        <w:br/>
      </w:r>
      <w:r w:rsidR="00D50D55">
        <w:rPr>
          <w:noProof/>
        </w:rPr>
        <w:drawing>
          <wp:inline distT="0" distB="0" distL="0" distR="0">
            <wp:extent cx="2585720" cy="20180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03 1728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564" cy="20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D55">
        <w:rPr>
          <w:noProof/>
        </w:rPr>
        <w:drawing>
          <wp:inline distT="0" distB="0" distL="0" distR="0">
            <wp:extent cx="2600960" cy="19735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03 1728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99" cy="20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D55">
        <w:rPr>
          <w:noProof/>
        </w:rPr>
        <w:drawing>
          <wp:inline distT="0" distB="0" distL="0" distR="0">
            <wp:extent cx="3362960" cy="16306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03 1729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99" cy="16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02" w:rsidRDefault="00D50D55" w:rsidP="00831D02">
      <w:pPr>
        <w:pStyle w:val="ListParagraph"/>
      </w:pPr>
      <w:proofErr w:type="gramStart"/>
      <w:r w:rsidRPr="00831D02">
        <w:rPr>
          <w:b/>
        </w:rPr>
        <w:t>Chairs</w:t>
      </w:r>
      <w:r>
        <w:t xml:space="preserve"> </w:t>
      </w:r>
      <w:r w:rsidR="00831D02">
        <w:t>:</w:t>
      </w:r>
      <w:proofErr w:type="gramEnd"/>
    </w:p>
    <w:p w:rsidR="00D50D55" w:rsidRPr="00831D02" w:rsidRDefault="00D50D55" w:rsidP="00831D02">
      <w:pPr>
        <w:pStyle w:val="ListParagraph"/>
        <w:numPr>
          <w:ilvl w:val="0"/>
          <w:numId w:val="4"/>
        </w:numPr>
      </w:pPr>
      <w:r w:rsidRPr="00831D02">
        <w:t>With Chairs at $46 K and both Binders and Phones at $43 K, demand is very balanced. Chairs edge out slightly, suggesting that ergonomic or home-office seating remains a top priority for Central customers.</w:t>
      </w:r>
    </w:p>
    <w:p w:rsidR="00831D02" w:rsidRDefault="00D50D55" w:rsidP="00831D02">
      <w:pPr>
        <w:pStyle w:val="ListParagraph"/>
        <w:numPr>
          <w:ilvl w:val="0"/>
          <w:numId w:val="4"/>
        </w:numPr>
      </w:pPr>
      <w:r>
        <w:t>Action: Maintain slightly higher inventory levels of your most popular chair models (e.g., mid-priced ergonomic chairs), but avoid overstocking. Since Binders and Phones are within $3 K, keep those SKUs well-stocked too to avoid stockouts.</w:t>
      </w:r>
      <w:r w:rsidR="008C4FE0">
        <w:br/>
      </w:r>
      <w:r w:rsidR="00831D02">
        <w:br/>
      </w:r>
      <w:r w:rsidR="00831D02" w:rsidRPr="00831D02">
        <w:rPr>
          <w:b/>
        </w:rPr>
        <w:t>Bundling &amp; Cross-Sell Opportunitie</w:t>
      </w:r>
      <w:r w:rsidR="00831D02" w:rsidRPr="00831D02">
        <w:rPr>
          <w:b/>
        </w:rPr>
        <w:t>s:</w:t>
      </w:r>
    </w:p>
    <w:p w:rsidR="00831D02" w:rsidRDefault="00831D02" w:rsidP="00831D02">
      <w:pPr>
        <w:pStyle w:val="ListParagraph"/>
        <w:numPr>
          <w:ilvl w:val="0"/>
          <w:numId w:val="4"/>
        </w:numPr>
      </w:pPr>
      <w:r>
        <w:t>Because Binders and Phones each generate almost the same sales as Chairs, consider pairing them:</w:t>
      </w:r>
      <w:r>
        <w:br/>
        <w:t xml:space="preserve">  </w:t>
      </w:r>
      <w:r>
        <w:t>“Ergonomic Chair + Desk Organizer (Binder)” bundle at a 5% discount.</w:t>
      </w:r>
      <w:r>
        <w:br/>
        <w:t xml:space="preserve"> </w:t>
      </w:r>
      <w:r>
        <w:t>“Desk Chair + Bluetooth Headset (Phone accessory)” cross-sell.</w:t>
      </w:r>
    </w:p>
    <w:p w:rsidR="00831D02" w:rsidRDefault="00831D02" w:rsidP="00831D02">
      <w:pPr>
        <w:pStyle w:val="ListParagraph"/>
        <w:numPr>
          <w:ilvl w:val="0"/>
          <w:numId w:val="4"/>
        </w:numPr>
      </w:pPr>
      <w:r>
        <w:lastRenderedPageBreak/>
        <w:t>Bundling can nudge customers who came in for one item to pick up a complementary SKU—raising average order value by $5–$10 per transaction on average.</w:t>
      </w:r>
      <w:r w:rsidR="008C4FE0">
        <w:br/>
      </w:r>
      <w:r>
        <w:br/>
      </w:r>
      <w:r w:rsidRPr="00831D02">
        <w:rPr>
          <w:b/>
        </w:rPr>
        <w:t xml:space="preserve">marketing and inventory </w:t>
      </w:r>
      <w:r w:rsidRPr="00831D02">
        <w:rPr>
          <w:b/>
        </w:rPr>
        <w:t>alignment</w:t>
      </w:r>
      <w:r w:rsidRPr="00831D02">
        <w:rPr>
          <w:b/>
        </w:rPr>
        <w:t xml:space="preserve"> and </w:t>
      </w:r>
      <w:r w:rsidRPr="00831D02">
        <w:rPr>
          <w:b/>
        </w:rPr>
        <w:t>seasonality</w:t>
      </w:r>
      <w:r w:rsidRPr="00831D02">
        <w:rPr>
          <w:b/>
        </w:rPr>
        <w:t xml:space="preserve"> consideration</w:t>
      </w:r>
      <w:r>
        <w:rPr>
          <w:b/>
        </w:rPr>
        <w:t>:</w:t>
      </w:r>
      <w:r>
        <w:rPr>
          <w:b/>
        </w:rPr>
        <w:br/>
      </w:r>
      <w:r>
        <w:t>Q4 Holiday Bundles &amp; Stock-Up:</w:t>
      </w:r>
    </w:p>
    <w:p w:rsidR="00831D02" w:rsidRDefault="00831D02" w:rsidP="00831D02">
      <w:pPr>
        <w:pStyle w:val="ListParagraph"/>
        <w:numPr>
          <w:ilvl w:val="0"/>
          <w:numId w:val="4"/>
        </w:numPr>
      </w:pPr>
      <w:r>
        <w:t>Pre-stock top chairs in October and run a “Holiday Comfort &amp; Organization” bundle—buy a chair, get 50% off a binder—to capitalize on peak demand.</w:t>
      </w:r>
    </w:p>
    <w:p w:rsidR="00831D02" w:rsidRDefault="00831D02" w:rsidP="00831D02">
      <w:pPr>
        <w:pStyle w:val="ListParagraph"/>
      </w:pPr>
      <w:r>
        <w:t>Summer Desk Refresh Promotion:</w:t>
      </w:r>
    </w:p>
    <w:p w:rsidR="00831D02" w:rsidRDefault="00831D02" w:rsidP="00831D02">
      <w:pPr>
        <w:pStyle w:val="ListParagraph"/>
        <w:numPr>
          <w:ilvl w:val="0"/>
          <w:numId w:val="4"/>
        </w:numPr>
      </w:pPr>
      <w:r>
        <w:t>In June–July, ensure ample binders and phone accessories inventory, then launch a “Mid-Year Desk Refresh” flash sale bundling phones, binders, and chairs to boost slow-season sales.</w:t>
      </w:r>
    </w:p>
    <w:p w:rsidR="00831D02" w:rsidRDefault="00831D02" w:rsidP="00831D02">
      <w:pPr>
        <w:pStyle w:val="ListParagraph"/>
      </w:pPr>
      <w:r>
        <w:t>State-Targeted Campaigns &amp; Warehousing:</w:t>
      </w:r>
    </w:p>
    <w:p w:rsidR="00831D02" w:rsidRDefault="00831D02" w:rsidP="00831D02">
      <w:pPr>
        <w:pStyle w:val="ListParagraph"/>
        <w:numPr>
          <w:ilvl w:val="0"/>
          <w:numId w:val="4"/>
        </w:numPr>
      </w:pPr>
      <w:r>
        <w:t>Coordinate marketing in IL, MO, and MI with warehouse shipments—e.g., October “Fall Office Essentials” (chairs + binders) in Illinois; November “Phone &amp; Seating” sale in Michigan—with stock prepositioned locally.</w:t>
      </w:r>
    </w:p>
    <w:p w:rsidR="00831D02" w:rsidRDefault="00831D02" w:rsidP="00831D02">
      <w:pPr>
        <w:pStyle w:val="ListParagraph"/>
      </w:pPr>
      <w:r>
        <w:t>Dynamic Pricing &amp; Restock Alerts:</w:t>
      </w:r>
    </w:p>
    <w:p w:rsidR="001E15A8" w:rsidRDefault="00831D02" w:rsidP="001E15A8">
      <w:pPr>
        <w:pStyle w:val="ListParagraph"/>
        <w:numPr>
          <w:ilvl w:val="0"/>
          <w:numId w:val="4"/>
        </w:numPr>
      </w:pPr>
      <w:r>
        <w:t>Raise chair prices 5–10% in December while offering binder discounts, and set restock alerts for binders/phone accessories in August to align with “Back-to-Work” promotions.</w:t>
      </w:r>
      <w:r>
        <w:br/>
      </w:r>
      <w:r w:rsidR="001E15A8">
        <w:br/>
      </w:r>
      <w:r w:rsidR="001E15A8">
        <w:rPr>
          <w:rStyle w:val="Strong"/>
        </w:rPr>
        <w:t>Sum of Sales by Payment Mode</w:t>
      </w:r>
      <w:r w:rsidR="001E15A8">
        <w:t xml:space="preserve"> (Cards, COD, Online)</w:t>
      </w:r>
      <w:r w:rsidR="001E15A8">
        <w:br/>
      </w:r>
      <w:r w:rsidR="001E15A8">
        <w:rPr>
          <w:noProof/>
        </w:rPr>
        <w:drawing>
          <wp:inline distT="0" distB="0" distL="0" distR="0" wp14:anchorId="68BB1243" wp14:editId="6BB87658">
            <wp:extent cx="2491105" cy="1864328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6-03 1758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09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8">
        <w:rPr>
          <w:noProof/>
        </w:rPr>
        <w:drawing>
          <wp:inline distT="0" distB="0" distL="0" distR="0" wp14:anchorId="30CCC527" wp14:editId="3AB4404F">
            <wp:extent cx="2702560" cy="1899726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03 1758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312" cy="19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8">
        <w:br/>
      </w:r>
      <w:r w:rsidR="001E15A8">
        <w:rPr>
          <w:noProof/>
        </w:rPr>
        <w:drawing>
          <wp:inline distT="0" distB="0" distL="0" distR="0">
            <wp:extent cx="2611120" cy="17941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03 1758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9" cy="18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8">
        <w:br/>
      </w:r>
      <w:r w:rsidR="001E15A8">
        <w:br/>
      </w:r>
      <w:r w:rsidR="001E15A8">
        <w:t xml:space="preserve">1. </w:t>
      </w:r>
      <w:r w:rsidR="001E15A8" w:rsidRPr="001E15A8">
        <w:rPr>
          <w:b/>
        </w:rPr>
        <w:t>Online Payments Dominate Sales Share</w:t>
      </w:r>
    </w:p>
    <w:p w:rsidR="001E15A8" w:rsidRDefault="001E15A8" w:rsidP="001E15A8">
      <w:pPr>
        <w:pStyle w:val="ListParagraph"/>
        <w:numPr>
          <w:ilvl w:val="0"/>
          <w:numId w:val="4"/>
        </w:numPr>
      </w:pPr>
      <w:r>
        <w:t>Online payments account for ~39% of all sales across multiple regions.</w:t>
      </w:r>
    </w:p>
    <w:p w:rsidR="001E15A8" w:rsidRDefault="001E15A8" w:rsidP="001E15A8">
      <w:pPr>
        <w:pStyle w:val="ListParagraph"/>
        <w:numPr>
          <w:ilvl w:val="0"/>
          <w:numId w:val="4"/>
        </w:numPr>
      </w:pPr>
      <w:r>
        <w:t>This indicates a strong digital adoption — increasing investment in digital infrastructure (e.g., faster checkout, mobile optimization) could boost sales further.</w:t>
      </w:r>
      <w:r>
        <w:br/>
      </w:r>
      <w:r>
        <w:br/>
      </w:r>
      <w:r w:rsidRPr="001E15A8">
        <w:rPr>
          <w:b/>
        </w:rPr>
        <w:t>2. High COD (Cash on Delivery) Usage Indicates Customer Trust Gap</w:t>
      </w:r>
    </w:p>
    <w:p w:rsidR="001E15A8" w:rsidRDefault="001E15A8" w:rsidP="001E15A8">
      <w:pPr>
        <w:pStyle w:val="ListParagraph"/>
        <w:numPr>
          <w:ilvl w:val="0"/>
          <w:numId w:val="4"/>
        </w:numPr>
      </w:pPr>
      <w:r>
        <w:lastRenderedPageBreak/>
        <w:t>COD consistently makes up ~40-41% of transactions.</w:t>
      </w:r>
    </w:p>
    <w:p w:rsidR="001E15A8" w:rsidRDefault="001E15A8" w:rsidP="001E15A8">
      <w:pPr>
        <w:pStyle w:val="ListParagraph"/>
        <w:numPr>
          <w:ilvl w:val="0"/>
          <w:numId w:val="4"/>
        </w:numPr>
      </w:pPr>
      <w:r>
        <w:t>While COD boosts order volume, it often comes with higher risk of returns and logistical costs.</w:t>
      </w:r>
    </w:p>
    <w:p w:rsidR="00557F74" w:rsidRDefault="001E15A8" w:rsidP="00557F74">
      <w:pPr>
        <w:pStyle w:val="ListParagraph"/>
        <w:numPr>
          <w:ilvl w:val="0"/>
          <w:numId w:val="4"/>
        </w:numPr>
      </w:pPr>
      <w:r>
        <w:t xml:space="preserve">Consider loyalty incentives or cashback offers for prepaid orders to shift </w:t>
      </w:r>
      <w:proofErr w:type="spellStart"/>
      <w:r>
        <w:t>behavior</w:t>
      </w:r>
      <w:proofErr w:type="spellEnd"/>
      <w:r>
        <w:t xml:space="preserve"> toward more secure methods.</w:t>
      </w:r>
      <w:r>
        <w:br/>
      </w:r>
      <w:r>
        <w:rPr>
          <w:b/>
        </w:rPr>
        <w:br/>
      </w:r>
      <w:r w:rsidRPr="001E15A8">
        <w:rPr>
          <w:b/>
        </w:rPr>
        <w:t>3. Cards Are the Least Used Payment Mode (~20%)</w:t>
      </w:r>
      <w:r>
        <w:rPr>
          <w:b/>
        </w:rPr>
        <w:br/>
      </w:r>
    </w:p>
    <w:p w:rsidR="001E15A8" w:rsidRDefault="001E15A8" w:rsidP="00557F74">
      <w:pPr>
        <w:pStyle w:val="ListParagraph"/>
        <w:numPr>
          <w:ilvl w:val="0"/>
          <w:numId w:val="4"/>
        </w:numPr>
      </w:pPr>
      <w:r>
        <w:t>Despite widespread access to debit/credit cards, card usage remains low.</w:t>
      </w:r>
    </w:p>
    <w:p w:rsidR="001E15A8" w:rsidRDefault="001E15A8" w:rsidP="001E15A8">
      <w:pPr>
        <w:pStyle w:val="ListParagraph"/>
        <w:numPr>
          <w:ilvl w:val="0"/>
          <w:numId w:val="4"/>
        </w:numPr>
      </w:pPr>
      <w:r>
        <w:t>This might reflect payment gateway issues, lack of offers, or customer preference for COD.</w:t>
      </w:r>
    </w:p>
    <w:p w:rsidR="00557F74" w:rsidRDefault="001E15A8" w:rsidP="00557F74">
      <w:pPr>
        <w:pStyle w:val="ListParagraph"/>
        <w:numPr>
          <w:ilvl w:val="0"/>
          <w:numId w:val="4"/>
        </w:numPr>
      </w:pPr>
      <w:r>
        <w:t>Suggestion: Partner with card providers to launch seasonal discounts or EMI schemes.</w:t>
      </w:r>
      <w:r w:rsidR="00557F74">
        <w:br/>
      </w:r>
      <w:r w:rsidR="00557F74">
        <w:br/>
      </w:r>
      <w:r w:rsidR="00557F74" w:rsidRPr="00557F74">
        <w:rPr>
          <w:b/>
        </w:rPr>
        <w:t>4.</w:t>
      </w:r>
      <w:r w:rsidR="00557F74" w:rsidRPr="00557F74">
        <w:rPr>
          <w:b/>
        </w:rPr>
        <w:t>COD Prevalence Could Be Affecting Profit Margins</w:t>
      </w:r>
    </w:p>
    <w:p w:rsidR="00557F74" w:rsidRDefault="00557F74" w:rsidP="00557F74">
      <w:pPr>
        <w:pStyle w:val="ListParagraph"/>
        <w:numPr>
          <w:ilvl w:val="0"/>
          <w:numId w:val="4"/>
        </w:numPr>
      </w:pPr>
      <w:r>
        <w:t>Given COD’s logistical burden (delivery failures, returns), high COD share may be dampening profits, especially in price-sensitive regions.</w:t>
      </w:r>
    </w:p>
    <w:p w:rsidR="00557F74" w:rsidRDefault="00557F74" w:rsidP="00557F74">
      <w:pPr>
        <w:pStyle w:val="ListParagraph"/>
        <w:numPr>
          <w:ilvl w:val="0"/>
          <w:numId w:val="4"/>
        </w:numPr>
      </w:pPr>
      <w:r>
        <w:t>Targeting urban areas or tech-savvy segments with prepaid-only offers could help.</w:t>
      </w:r>
      <w:r>
        <w:br/>
      </w:r>
    </w:p>
    <w:p w:rsidR="00557F74" w:rsidRPr="00557F74" w:rsidRDefault="00557F74" w:rsidP="00557F74">
      <w:pPr>
        <w:pStyle w:val="ListParagraph"/>
        <w:rPr>
          <w:b/>
        </w:rPr>
      </w:pPr>
      <w:r w:rsidRPr="00557F74">
        <w:rPr>
          <w:b/>
        </w:rPr>
        <w:t xml:space="preserve">5. Payment Mode Trends Could Predict Regional </w:t>
      </w:r>
      <w:proofErr w:type="spellStart"/>
      <w:r w:rsidRPr="00557F74">
        <w:rPr>
          <w:b/>
        </w:rPr>
        <w:t>Behavior</w:t>
      </w:r>
      <w:proofErr w:type="spellEnd"/>
    </w:p>
    <w:p w:rsidR="00557F74" w:rsidRDefault="00557F74" w:rsidP="00557F74">
      <w:pPr>
        <w:pStyle w:val="ListParagraph"/>
      </w:pPr>
      <w:r>
        <w:t>For example:</w:t>
      </w:r>
    </w:p>
    <w:p w:rsidR="00557F74" w:rsidRDefault="00557F74" w:rsidP="00557F74">
      <w:pPr>
        <w:pStyle w:val="ListParagraph"/>
        <w:numPr>
          <w:ilvl w:val="0"/>
          <w:numId w:val="4"/>
        </w:numPr>
      </w:pPr>
      <w:r>
        <w:t>Regions with high online payments may respond better to app-only discounts or wallet partnerships.</w:t>
      </w:r>
    </w:p>
    <w:p w:rsidR="00D96EEC" w:rsidRDefault="00557F74" w:rsidP="00D96EEC">
      <w:pPr>
        <w:pStyle w:val="ListParagraph"/>
        <w:numPr>
          <w:ilvl w:val="0"/>
          <w:numId w:val="4"/>
        </w:numPr>
      </w:pPr>
      <w:r>
        <w:t>Regions with high COD might require education, trust-building, or improved return policies to transition to digital.</w:t>
      </w:r>
      <w:r w:rsidR="00D96EEC">
        <w:br/>
      </w:r>
      <w:r w:rsidR="00D96EEC">
        <w:rPr>
          <w:rStyle w:val="Strong"/>
        </w:rPr>
        <w:br/>
      </w:r>
      <w:r w:rsidR="00D96EEC">
        <w:rPr>
          <w:rStyle w:val="Strong"/>
        </w:rPr>
        <w:t>Sum of Sales by Segment</w:t>
      </w:r>
      <w:r w:rsidR="00D96EEC">
        <w:t xml:space="preserve"> (Home Office, Consumer, Corporate)</w:t>
      </w:r>
      <w:r w:rsidR="00746406">
        <w:br/>
      </w:r>
      <w:r w:rsidR="00D96EEC">
        <w:rPr>
          <w:noProof/>
        </w:rPr>
        <w:drawing>
          <wp:inline distT="0" distB="0" distL="0" distR="0" wp14:anchorId="3B0B73F1" wp14:editId="416BBA0B">
            <wp:extent cx="2484120" cy="1996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6-03 1814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724" cy="202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EEC">
        <w:rPr>
          <w:noProof/>
        </w:rPr>
        <w:drawing>
          <wp:inline distT="0" distB="0" distL="0" distR="0" wp14:anchorId="35564BC4" wp14:editId="4AA560E4">
            <wp:extent cx="2738120" cy="19903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03 1812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86" cy="20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EEC">
        <w:rPr>
          <w:noProof/>
        </w:rPr>
        <w:drawing>
          <wp:inline distT="0" distB="0" distL="0" distR="0" wp14:anchorId="20F6710F" wp14:editId="295C1C79">
            <wp:extent cx="5044440" cy="2062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6-03 1815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EEC">
        <w:br/>
      </w:r>
      <w:r w:rsidR="00746406">
        <w:lastRenderedPageBreak/>
        <w:t xml:space="preserve"> </w:t>
      </w:r>
      <w:r w:rsidR="00D96EEC">
        <w:br/>
      </w:r>
      <w:r w:rsidR="00D96EEC" w:rsidRPr="00D96EEC">
        <w:rPr>
          <w:b/>
        </w:rPr>
        <w:t>Consumer Segment Leads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~48% of total sales consistently come from the Consumer segment.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This is the most profitable customer base and should be prioritized in promotions and campaigns.</w:t>
      </w:r>
    </w:p>
    <w:p w:rsidR="00D96EEC" w:rsidRPr="00D96EEC" w:rsidRDefault="00D96EEC" w:rsidP="00D96EEC">
      <w:pPr>
        <w:pStyle w:val="ListParagraph"/>
        <w:rPr>
          <w:b/>
        </w:rPr>
      </w:pPr>
      <w:r w:rsidRPr="00D96EEC">
        <w:rPr>
          <w:b/>
        </w:rPr>
        <w:t>Corporate Segment is Second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Contributes ~33% of sales in most dashboards.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This segment may yield bulk orders — opportunities for B2B deals or loyalty programs.</w:t>
      </w:r>
    </w:p>
    <w:p w:rsidR="00D96EEC" w:rsidRPr="00D96EEC" w:rsidRDefault="00D96EEC" w:rsidP="00D96EEC">
      <w:pPr>
        <w:pStyle w:val="ListParagraph"/>
        <w:rPr>
          <w:b/>
        </w:rPr>
      </w:pPr>
      <w:r w:rsidRPr="00D96EEC">
        <w:rPr>
          <w:b/>
        </w:rPr>
        <w:t>Home Office is the Smallest Segment (~20%)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Lower contribution, but potential to grow, especially with remote work trends.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Consider targeted offers on chairs, desks, or tech bundles.</w:t>
      </w:r>
    </w:p>
    <w:p w:rsidR="00D96EEC" w:rsidRPr="00D96EEC" w:rsidRDefault="00D96EEC" w:rsidP="00D96EEC">
      <w:pPr>
        <w:pStyle w:val="ListParagraph"/>
        <w:rPr>
          <w:b/>
        </w:rPr>
      </w:pPr>
      <w:r w:rsidRPr="00D96EEC">
        <w:rPr>
          <w:b/>
        </w:rPr>
        <w:t>Segment Stability Across Regions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>The percentage distribution remains consistent across different states/regions.</w:t>
      </w:r>
    </w:p>
    <w:p w:rsidR="00D96EEC" w:rsidRDefault="00D96EEC" w:rsidP="00D96EEC">
      <w:pPr>
        <w:pStyle w:val="ListParagraph"/>
        <w:numPr>
          <w:ilvl w:val="0"/>
          <w:numId w:val="4"/>
        </w:numPr>
      </w:pPr>
      <w:r>
        <w:t xml:space="preserve">Suggests broad </w:t>
      </w:r>
      <w:proofErr w:type="spellStart"/>
      <w:r>
        <w:t>behavioral</w:t>
      </w:r>
      <w:proofErr w:type="spellEnd"/>
      <w:r>
        <w:t xml:space="preserve"> trends, not regional anomalies.</w:t>
      </w:r>
    </w:p>
    <w:p w:rsidR="00D96EEC" w:rsidRPr="00D96EEC" w:rsidRDefault="00D96EEC" w:rsidP="00D96EEC">
      <w:pPr>
        <w:pStyle w:val="ListParagraph"/>
        <w:rPr>
          <w:b/>
        </w:rPr>
      </w:pPr>
      <w:r w:rsidRPr="00D96EEC">
        <w:rPr>
          <w:b/>
        </w:rPr>
        <w:t>Marketing Focus Suggestion</w:t>
      </w:r>
    </w:p>
    <w:p w:rsidR="001B63F1" w:rsidRDefault="00D96EEC" w:rsidP="00D96EEC">
      <w:pPr>
        <w:pStyle w:val="ListParagraph"/>
        <w:numPr>
          <w:ilvl w:val="0"/>
          <w:numId w:val="4"/>
        </w:numPr>
      </w:pPr>
      <w:r>
        <w:t>Invest more in retention of Consumers, and growth of Home Office users through educational or productivity-focused campaigns.</w:t>
      </w:r>
      <w:r w:rsidR="00D2365E">
        <w:br/>
      </w:r>
      <w:r w:rsidR="00D2365E">
        <w:br/>
      </w:r>
      <w:r w:rsidR="00D2365E">
        <w:rPr>
          <w:rStyle w:val="Strong"/>
        </w:rPr>
        <w:t>Sum of Sales by Category</w:t>
      </w:r>
      <w:r w:rsidR="00D2365E" w:rsidRPr="00D2365E">
        <w:rPr>
          <w:b/>
        </w:rPr>
        <w:t xml:space="preserve"> (Office Supplies, Furniture, Technology)</w:t>
      </w:r>
      <w:r w:rsidR="001B63F1">
        <w:br/>
      </w:r>
      <w:r w:rsidR="001B63F1">
        <w:rPr>
          <w:noProof/>
        </w:rPr>
        <w:drawing>
          <wp:inline distT="0" distB="0" distL="0" distR="0">
            <wp:extent cx="2519680" cy="1848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6-03 18413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936" cy="18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3F1">
        <w:rPr>
          <w:noProof/>
        </w:rPr>
        <w:t xml:space="preserve">  </w:t>
      </w:r>
      <w:r w:rsidR="001B63F1">
        <w:rPr>
          <w:noProof/>
        </w:rPr>
        <w:drawing>
          <wp:inline distT="0" distB="0" distL="0" distR="0">
            <wp:extent cx="2565400" cy="18319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6-03 18415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05" cy="18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F1" w:rsidRDefault="001B63F1" w:rsidP="001B63F1">
      <w:pPr>
        <w:pStyle w:val="ListParagraph"/>
      </w:pPr>
      <w:r>
        <w:br/>
      </w:r>
      <w:r>
        <w:rPr>
          <w:noProof/>
        </w:rPr>
        <w:drawing>
          <wp:inline distT="0" distB="0" distL="0" distR="0">
            <wp:extent cx="3372428" cy="1849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6-03 1842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498" cy="18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04AF7">
        <w:br/>
      </w:r>
      <w:r w:rsidRPr="00A04AF7">
        <w:rPr>
          <w:b/>
        </w:rPr>
        <w:t>Office Supplies is the Top Revenue Driver</w:t>
      </w:r>
    </w:p>
    <w:p w:rsidR="001B63F1" w:rsidRDefault="001B63F1" w:rsidP="001B63F1">
      <w:pPr>
        <w:pStyle w:val="ListParagraph"/>
      </w:pPr>
    </w:p>
    <w:p w:rsidR="001B63F1" w:rsidRDefault="001B63F1" w:rsidP="00A04AF7">
      <w:pPr>
        <w:pStyle w:val="ListParagraph"/>
        <w:numPr>
          <w:ilvl w:val="0"/>
          <w:numId w:val="4"/>
        </w:numPr>
      </w:pPr>
      <w:r>
        <w:t>Across all dashboards, Office Supplies consistently contributes ~0.15M in sales.</w:t>
      </w:r>
    </w:p>
    <w:p w:rsidR="001B63F1" w:rsidRDefault="001B63F1" w:rsidP="00A04AF7">
      <w:pPr>
        <w:pStyle w:val="ListParagraph"/>
        <w:numPr>
          <w:ilvl w:val="0"/>
          <w:numId w:val="4"/>
        </w:numPr>
      </w:pPr>
      <w:r>
        <w:t>Indicates strong demand; consider volume discounts or cross-selling with related products (e.g., tech accessories).</w:t>
      </w:r>
      <w:r w:rsidR="00A04AF7">
        <w:br/>
      </w:r>
      <w:r w:rsidRPr="00A04AF7">
        <w:rPr>
          <w:b/>
        </w:rPr>
        <w:t>Furniture Holds Strong Mid-Level Sales (~0.11M)</w:t>
      </w:r>
    </w:p>
    <w:p w:rsidR="001B63F1" w:rsidRDefault="001B63F1" w:rsidP="001B63F1">
      <w:pPr>
        <w:pStyle w:val="ListParagraph"/>
      </w:pPr>
    </w:p>
    <w:p w:rsidR="001B63F1" w:rsidRDefault="001B63F1" w:rsidP="00A04AF7">
      <w:pPr>
        <w:pStyle w:val="ListParagraph"/>
        <w:numPr>
          <w:ilvl w:val="0"/>
          <w:numId w:val="4"/>
        </w:numPr>
      </w:pPr>
      <w:r>
        <w:t>Despite fewer units sold, Furniture maintains healthy sales, suggesting higher ticket size per item.</w:t>
      </w:r>
      <w:r w:rsidR="00A04AF7">
        <w:br/>
      </w:r>
      <w:r>
        <w:t>Focus marketing on value-based promotions (ergonomics, durability, etc.).</w:t>
      </w:r>
      <w:r w:rsidR="00A04AF7">
        <w:br/>
      </w:r>
      <w:r w:rsidRPr="00D2365E">
        <w:rPr>
          <w:b/>
        </w:rPr>
        <w:t>Technology Has the Lowest Sales (~0.09M)</w:t>
      </w:r>
      <w:r w:rsidR="00A04AF7" w:rsidRPr="00D2365E">
        <w:rPr>
          <w:b/>
        </w:rPr>
        <w:br/>
      </w:r>
      <w:r w:rsidRPr="00D2365E">
        <w:t>Technology category lags behind others in revenue.</w:t>
      </w:r>
      <w:r w:rsidR="00A04AF7" w:rsidRPr="00B1409B">
        <w:rPr>
          <w:b/>
        </w:rPr>
        <w:br/>
      </w:r>
      <w:r>
        <w:t>Investigate pricing strategy, competition, or customer awareness — this may be an under-tapped segment.</w:t>
      </w:r>
      <w:r w:rsidR="00A04AF7">
        <w:br/>
      </w:r>
      <w:r w:rsidRPr="00A04AF7">
        <w:rPr>
          <w:b/>
        </w:rPr>
        <w:t>Category Sales Are Consistent Across Dashboards</w:t>
      </w:r>
      <w:r w:rsidR="00A04AF7">
        <w:br/>
      </w:r>
      <w:r>
        <w:t>Little fluctuation in relative sales contribution among categories across different regions/timeframes.</w:t>
      </w:r>
      <w:r w:rsidR="00A04AF7">
        <w:br/>
      </w:r>
      <w:r>
        <w:t>Reflects stable customer preferences — optimize inventory planning accordingly.</w:t>
      </w:r>
      <w:r w:rsidR="00A04AF7">
        <w:br/>
      </w:r>
      <w:r w:rsidRPr="00A04AF7">
        <w:rPr>
          <w:b/>
        </w:rPr>
        <w:t>Opportunity for Growth in Tech Products</w:t>
      </w:r>
      <w:r w:rsidR="00A04AF7">
        <w:rPr>
          <w:b/>
        </w:rPr>
        <w:br/>
      </w:r>
      <w:r>
        <w:t>With digital adoption growing, tech category has potential.</w:t>
      </w:r>
    </w:p>
    <w:p w:rsidR="00D2365E" w:rsidRDefault="001B63F1" w:rsidP="00A04AF7">
      <w:pPr>
        <w:pStyle w:val="ListParagraph"/>
        <w:rPr>
          <w:b/>
          <w:noProof/>
        </w:rPr>
      </w:pPr>
      <w:r>
        <w:t>Suggest offering bundled packages (e.g., laptop + accessories) or promotions targeting remote workers and students.</w:t>
      </w:r>
      <w:r w:rsidR="00D2365E">
        <w:br/>
      </w:r>
      <w:r w:rsidR="00A04AF7">
        <w:br/>
      </w:r>
      <w:r w:rsidR="00A04AF7" w:rsidRPr="00A04AF7">
        <w:rPr>
          <w:rStyle w:val="Strong"/>
        </w:rPr>
        <w:t>Sales by Ship Mode</w:t>
      </w:r>
      <w:r w:rsidR="00A04AF7" w:rsidRPr="00A04AF7">
        <w:rPr>
          <w:b/>
        </w:rPr>
        <w:t xml:space="preserve"> (Standard Class, Second Class, First Class, and Same Day)</w:t>
      </w:r>
      <w:r w:rsidR="00D2365E">
        <w:rPr>
          <w:b/>
        </w:rPr>
        <w:br/>
      </w:r>
      <w:r w:rsidR="00D2365E">
        <w:rPr>
          <w:b/>
        </w:rPr>
        <w:br/>
      </w:r>
      <w:r w:rsidR="00D2365E">
        <w:rPr>
          <w:b/>
          <w:noProof/>
        </w:rPr>
        <w:drawing>
          <wp:inline distT="0" distB="0" distL="0" distR="0">
            <wp:extent cx="2504440" cy="1609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6-03 1857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13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65E">
        <w:rPr>
          <w:b/>
          <w:noProof/>
        </w:rPr>
        <w:t xml:space="preserve"> </w:t>
      </w:r>
      <w:r w:rsidR="00D2365E">
        <w:rPr>
          <w:b/>
          <w:noProof/>
        </w:rPr>
        <w:drawing>
          <wp:inline distT="0" distB="0" distL="0" distR="0">
            <wp:extent cx="2727960" cy="1589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6-03 1858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348" cy="16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F7" w:rsidRPr="00A04AF7" w:rsidRDefault="00D2365E" w:rsidP="00A04AF7">
      <w:pPr>
        <w:pStyle w:val="ListParagraph"/>
        <w:rPr>
          <w:b/>
        </w:rPr>
      </w:pPr>
      <w:r>
        <w:rPr>
          <w:b/>
          <w:noProof/>
        </w:rPr>
        <w:br/>
      </w:r>
      <w:bookmarkStart w:id="0" w:name="_GoBack"/>
      <w:r>
        <w:rPr>
          <w:b/>
          <w:noProof/>
        </w:rPr>
        <w:drawing>
          <wp:inline distT="0" distB="0" distL="0" distR="0">
            <wp:extent cx="2494280" cy="187452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6-03 1858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887" cy="1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>
            <wp:extent cx="2743200" cy="18547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6-03 18584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893" cy="18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F7">
        <w:rPr>
          <w:b/>
        </w:rPr>
        <w:br/>
      </w:r>
      <w:r w:rsidR="00A04AF7" w:rsidRPr="00A04AF7">
        <w:rPr>
          <w:b/>
        </w:rPr>
        <w:t xml:space="preserve"> Standard Class Dominates Shipping</w:t>
      </w:r>
      <w:r w:rsidR="00A04AF7">
        <w:rPr>
          <w:b/>
        </w:rPr>
        <w:br/>
      </w:r>
      <w:r w:rsidR="00A04AF7" w:rsidRPr="00A04AF7">
        <w:t>Standard Class is consistently the highest-used mode, with sales ranging from 24K to 78K.</w:t>
      </w:r>
    </w:p>
    <w:p w:rsidR="00A04AF7" w:rsidRPr="00A04AF7" w:rsidRDefault="00A04AF7" w:rsidP="00A04AF7">
      <w:pPr>
        <w:pStyle w:val="ListParagraph"/>
        <w:rPr>
          <w:b/>
        </w:rPr>
      </w:pPr>
      <w:r w:rsidRPr="00A04AF7">
        <w:t>Suggests customers prioritize cost savings over speed — this mode is likely the most economical</w:t>
      </w:r>
      <w:r w:rsidRPr="00A04AF7">
        <w:rPr>
          <w:b/>
        </w:rPr>
        <w:t>.</w:t>
      </w:r>
      <w:r>
        <w:rPr>
          <w:b/>
        </w:rPr>
        <w:br/>
      </w:r>
      <w:r w:rsidRPr="00A04AF7">
        <w:rPr>
          <w:b/>
        </w:rPr>
        <w:t>Second Class Is a Strong Secondary Option</w:t>
      </w:r>
      <w:r>
        <w:rPr>
          <w:b/>
        </w:rPr>
        <w:br/>
      </w:r>
      <w:r w:rsidRPr="00A04AF7">
        <w:t>Second Class sales are significant (11K to 32K) across dashboards.</w:t>
      </w:r>
    </w:p>
    <w:p w:rsidR="00A04AF7" w:rsidRPr="00A04AF7" w:rsidRDefault="00A04AF7" w:rsidP="00A04AF7">
      <w:pPr>
        <w:pStyle w:val="ListParagraph"/>
      </w:pPr>
      <w:r w:rsidRPr="00A04AF7">
        <w:t>Indicates a balanced trade-off between cost and delivery time — could be targeted for mid-value orders or bundled promotions.</w:t>
      </w:r>
      <w:r>
        <w:br/>
      </w:r>
      <w:r w:rsidRPr="00A04AF7">
        <w:rPr>
          <w:b/>
        </w:rPr>
        <w:t xml:space="preserve"> First Class Sees Moderate Use</w:t>
      </w:r>
      <w:r>
        <w:rPr>
          <w:b/>
        </w:rPr>
        <w:br/>
      </w:r>
      <w:r w:rsidRPr="00A04AF7">
        <w:lastRenderedPageBreak/>
        <w:t>First Class generally has lower sales (4K to 16K) compared to other modes.</w:t>
      </w:r>
      <w:r>
        <w:br/>
      </w:r>
      <w:r w:rsidRPr="00A04AF7">
        <w:t>Could be reserved for premium customers or urgent orders, potentially bundled with high-margin products</w:t>
      </w:r>
      <w:r w:rsidRPr="00A04AF7">
        <w:rPr>
          <w:b/>
        </w:rPr>
        <w:t>.</w:t>
      </w:r>
      <w:r>
        <w:rPr>
          <w:b/>
        </w:rPr>
        <w:br/>
      </w:r>
      <w:r w:rsidRPr="00A04AF7">
        <w:rPr>
          <w:b/>
        </w:rPr>
        <w:t xml:space="preserve"> Same Day Delivery Has the Lowest Usage</w:t>
      </w:r>
      <w:r>
        <w:rPr>
          <w:b/>
        </w:rPr>
        <w:br/>
      </w:r>
      <w:r w:rsidRPr="00A04AF7">
        <w:t>Sales from Same Day mode remain consistently low (0 to 7K).</w:t>
      </w:r>
    </w:p>
    <w:p w:rsidR="00CE470F" w:rsidRPr="00CE470F" w:rsidRDefault="00A04AF7" w:rsidP="00A04AF7">
      <w:pPr>
        <w:pStyle w:val="ListParagraph"/>
      </w:pPr>
      <w:r w:rsidRPr="00A04AF7">
        <w:t>May be due to higher fees, limited availability, or low perceived value — worth reviewing for optimization or targeted regional rollouts.</w:t>
      </w:r>
      <w:r w:rsidRPr="00A04AF7">
        <w:br/>
      </w:r>
      <w:r>
        <w:br/>
      </w:r>
      <w:r w:rsidR="00746406">
        <w:br/>
      </w:r>
      <w:r w:rsidR="00746406">
        <w:rPr>
          <w:noProof/>
        </w:rPr>
        <w:t xml:space="preserve">  </w:t>
      </w:r>
    </w:p>
    <w:sectPr w:rsidR="00CE470F" w:rsidRPr="00CE4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437DB"/>
    <w:multiLevelType w:val="hybridMultilevel"/>
    <w:tmpl w:val="1C9A8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354E0"/>
    <w:multiLevelType w:val="hybridMultilevel"/>
    <w:tmpl w:val="CC36C4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28257F"/>
    <w:multiLevelType w:val="hybridMultilevel"/>
    <w:tmpl w:val="848421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9C7F97"/>
    <w:multiLevelType w:val="hybridMultilevel"/>
    <w:tmpl w:val="3E525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70F"/>
    <w:rsid w:val="001B63F1"/>
    <w:rsid w:val="001E15A8"/>
    <w:rsid w:val="0051464D"/>
    <w:rsid w:val="00557F74"/>
    <w:rsid w:val="00746406"/>
    <w:rsid w:val="00831D02"/>
    <w:rsid w:val="008C4FE0"/>
    <w:rsid w:val="009919D3"/>
    <w:rsid w:val="00A04AF7"/>
    <w:rsid w:val="00A329BE"/>
    <w:rsid w:val="00B1409B"/>
    <w:rsid w:val="00C15F22"/>
    <w:rsid w:val="00CE470F"/>
    <w:rsid w:val="00D2365E"/>
    <w:rsid w:val="00D50D55"/>
    <w:rsid w:val="00D96EEC"/>
    <w:rsid w:val="00DE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9E3CB"/>
  <w15:chartTrackingRefBased/>
  <w15:docId w15:val="{0F201C95-5CF6-4B5A-892D-67D11D01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C4FE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E15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ANUBHUTI ANURAG</dc:creator>
  <cp:keywords/>
  <dc:description/>
  <cp:lastModifiedBy>ANUBHUTI ANURAG</cp:lastModifiedBy>
  <cp:revision>5</cp:revision>
  <dcterms:created xsi:type="dcterms:W3CDTF">2025-06-03T10:53:00Z</dcterms:created>
  <dcterms:modified xsi:type="dcterms:W3CDTF">2025-06-03T14:03:00Z</dcterms:modified>
</cp:coreProperties>
</file>