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1" w:name="architectural-decision-records"/>
    <w:p>
      <w:pPr>
        <w:pStyle w:val="Heading1"/>
      </w:pPr>
      <w:r>
        <w:t xml:space="preserve">ARCHITECTURAL DECISION RECORDS</w: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Capture all significant architectural decisions.</w:t>
      </w:r>
    </w:p>
    <w:p>
      <w:pPr>
        <w:pStyle w:val="BodyText"/>
      </w:pPr>
      <w:r>
        <w:t xml:space="preserve">Directory:</w:t>
      </w:r>
    </w:p>
    <w:p>
      <w:pPr>
        <w:pStyle w:val="BodyText"/>
      </w:pPr>
      <w:r>
        <w:t xml:space="preserve">docs/adr/</w:t>
      </w:r>
    </w:p>
    <w:p>
      <w:r>
        <w:pict>
          <v:rect style="width:0;height:1.5pt" o:hralign="center" o:hrstd="t" o:hr="t"/>
        </w:pict>
      </w:r>
    </w:p>
    <w:bookmarkEnd w:id="22"/>
    <w:bookmarkStart w:id="23" w:name="adr-template"/>
    <w:p>
      <w:pPr>
        <w:pStyle w:val="Heading1"/>
      </w:pPr>
      <w:r>
        <w:t xml:space="preserve">ADR TEMPLATE</w:t>
      </w:r>
    </w:p>
    <w:p>
      <w:pPr>
        <w:pStyle w:val="FirstParagraph"/>
      </w:pPr>
      <w:r>
        <w:t xml:space="preserve">ADR-XXX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Accepted / Superseded</w:t>
      </w:r>
    </w:p>
    <w:p>
      <w:pPr>
        <w:pStyle w:val="BodyText"/>
      </w:pPr>
      <w:r>
        <w:t xml:space="preserve">Context: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Alternatives Considered:</w:t>
      </w:r>
    </w:p>
    <w:p>
      <w:pPr>
        <w:pStyle w:val="BodyText"/>
      </w:pPr>
      <w:r>
        <w:t xml:space="preserve">Consequences:</w:t>
      </w:r>
    </w:p>
    <w:p>
      <w:pPr>
        <w:pStyle w:val="BodyText"/>
      </w:pPr>
      <w:r>
        <w:t xml:space="preserve">Risks:</w:t>
      </w:r>
    </w:p>
    <w:p>
      <w:pPr>
        <w:pStyle w:val="BodyText"/>
      </w:pPr>
      <w:r>
        <w:t xml:space="preserve">Mitigations:</w:t>
      </w:r>
    </w:p>
    <w:p>
      <w:r>
        <w:pict>
          <v:rect style="width:0;height:1.5pt" o:hralign="center" o:hrstd="t" o:hr="t"/>
        </w:pict>
      </w:r>
    </w:p>
    <w:bookmarkEnd w:id="23"/>
    <w:bookmarkStart w:id="24" w:name="initial-adrs"/>
    <w:p>
      <w:pPr>
        <w:pStyle w:val="Heading1"/>
      </w:pPr>
      <w:r>
        <w:t xml:space="preserve">INITIAL ADRS</w:t>
      </w:r>
    </w:p>
    <w:p>
      <w:pPr>
        <w:pStyle w:val="FirstParagraph"/>
      </w:pPr>
      <w:r>
        <w:t xml:space="preserve">ADR-001</w:t>
      </w:r>
    </w:p>
    <w:p>
      <w:pPr>
        <w:pStyle w:val="BodyText"/>
      </w:pPr>
      <w:r>
        <w:t xml:space="preserve">Resolver is authoritative.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ADR-002</w:t>
      </w:r>
    </w:p>
    <w:p>
      <w:pPr>
        <w:pStyle w:val="BodyText"/>
      </w:pPr>
      <w:r>
        <w:t xml:space="preserve">Validator is mandatory.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ADR-003</w:t>
      </w:r>
    </w:p>
    <w:p>
      <w:pPr>
        <w:pStyle w:val="BodyText"/>
      </w:pPr>
      <w:r>
        <w:t xml:space="preserve">Memory is hierarchical.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ADR-004</w:t>
      </w:r>
    </w:p>
    <w:p>
      <w:pPr>
        <w:pStyle w:val="BodyText"/>
      </w:pPr>
      <w:r>
        <w:t xml:space="preserve">Agents are workers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ADR-005</w:t>
      </w:r>
    </w:p>
    <w:p>
      <w:pPr>
        <w:pStyle w:val="BodyText"/>
      </w:pPr>
      <w:r>
        <w:t xml:space="preserve">Obsidian is non-authoritative.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ADR-006</w:t>
      </w:r>
    </w:p>
    <w:p>
      <w:pPr>
        <w:pStyle w:val="BodyText"/>
      </w:pPr>
      <w:r>
        <w:t xml:space="preserve">Reflection is mandatory.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ADR-007</w:t>
      </w:r>
    </w:p>
    <w:p>
      <w:pPr>
        <w:pStyle w:val="BodyText"/>
      </w:pPr>
      <w:r>
        <w:t xml:space="preserve">Context must be minimal.</w:t>
      </w:r>
    </w:p>
    <w:p>
      <w:r>
        <w:pict>
          <v:rect style="width:0;height:1.5pt" o:hralign="center" o:hrstd="t" o:hr="t"/>
        </w:pict>
      </w:r>
    </w:p>
    <w:bookmarkEnd w:id="24"/>
    <w:bookmarkStart w:id="25" w:name="rules"/>
    <w:p>
      <w:pPr>
        <w:pStyle w:val="Heading1"/>
      </w:pPr>
      <w:r>
        <w:t xml:space="preserve">RULES</w:t>
      </w:r>
    </w:p>
    <w:p>
      <w:pPr>
        <w:pStyle w:val="FirstParagraph"/>
      </w:pPr>
      <w:r>
        <w:t xml:space="preserve">ADRs are immutable.</w:t>
      </w:r>
    </w:p>
    <w:p>
      <w:pPr>
        <w:pStyle w:val="BodyText"/>
      </w:pPr>
      <w:r>
        <w:t xml:space="preserve">New decisions supersede old ones.</w:t>
      </w:r>
    </w:p>
    <w:p>
      <w:pPr>
        <w:pStyle w:val="BodyText"/>
      </w:pPr>
      <w:r>
        <w:t xml:space="preserve">Store ADRs with source code.</w:t>
      </w:r>
    </w:p>
    <w:p>
      <w:r>
        <w:pict>
          <v:rect style="width:0;height:1.5pt" o:hralign="center" o:hrstd="t" o:hr="t"/>
        </w:pict>
      </w:r>
    </w:p>
    <w:bookmarkEnd w:id="25"/>
    <w:bookmarkStart w:id="26" w:name="final-law"/>
    <w:p>
      <w:pPr>
        <w:pStyle w:val="Heading1"/>
      </w:pPr>
      <w:r>
        <w:t xml:space="preserve">FINAL LAW</w:t>
      </w:r>
    </w:p>
    <w:p>
      <w:pPr>
        <w:pStyle w:val="FirstParagraph"/>
      </w:pPr>
      <w:r>
        <w:t xml:space="preserve">Architectural decisions must never become tribal knowledge.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2026-06-24T07:43:54Z</dcterms:created>
  <dcterms:modified xsi:type="dcterms:W3CDTF">2026-06-24T07:43:54Z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