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AnubisX Framework: A Behavioral Digital Attribution Framework for Identity Analysis Using Artificial Intelligence</w:t>
      </w:r>
    </w:p>
    <w:p>
      <w:r>
        <w:rPr>
          <w:rFonts w:ascii="Times New Roman" w:hAnsi="Times New Roman"/>
          <w:b w:val="0"/>
          <w:i w:val="0"/>
          <w:sz w:val="24"/>
        </w:rPr>
      </w:r>
    </w:p>
    <w:p>
      <w:pPr>
        <w:jc w:val="center"/>
      </w:pPr>
      <w:r>
        <w:rPr>
          <w:rFonts w:ascii="Times New Roman" w:hAnsi="Times New Roman"/>
          <w:b w:val="0"/>
          <w:i w:val="0"/>
          <w:sz w:val="28"/>
        </w:rPr>
        <w:t>Ahmed Awad (NullC0d3)</w:t>
      </w:r>
    </w:p>
    <w:p>
      <w:pPr>
        <w:jc w:val="center"/>
      </w:pPr>
      <w:r>
        <w:rPr>
          <w:rFonts w:ascii="Times New Roman" w:hAnsi="Times New Roman"/>
          <w:b w:val="0"/>
          <w:i/>
          <w:sz w:val="24"/>
        </w:rPr>
        <w:t>Independent Cybersecurity Researcher</w:t>
      </w:r>
    </w:p>
    <w:p>
      <w:pPr>
        <w:jc w:val="center"/>
      </w:pPr>
      <w:r>
        <w:rPr>
          <w:rFonts w:ascii="Times New Roman" w:hAnsi="Times New Roman"/>
          <w:b w:val="0"/>
          <w:i w:val="0"/>
          <w:sz w:val="20"/>
        </w:rPr>
        <w:t>LinkedIn: https://www.linkedin.com/in/nullc0d3/</w:t>
      </w:r>
    </w:p>
    <w:p>
      <w:pPr>
        <w:jc w:val="center"/>
      </w:pPr>
      <w:r>
        <w:rPr>
          <w:rFonts w:ascii="Times New Roman" w:hAnsi="Times New Roman"/>
          <w:b w:val="0"/>
          <w:i w:val="0"/>
          <w:sz w:val="20"/>
        </w:rPr>
        <w:t>GitHub: https://github.com/nullc0d30/AnubisXFramework</w:t>
      </w:r>
    </w:p>
    <w:p>
      <w:pPr>
        <w:jc w:val="center"/>
      </w:pPr>
      <w:r>
        <w:rPr>
          <w:rFonts w:ascii="Times New Roman" w:hAnsi="Times New Roman"/>
          <w:b w:val="0"/>
          <w:i w:val="0"/>
          <w:sz w:val="20"/>
        </w:rPr>
        <w:t>Zenodo: https://doi.org/10.5281/zenodo.21374132</w:t>
      </w:r>
    </w:p>
    <w:p>
      <w:r>
        <w:rPr>
          <w:rFonts w:ascii="Times New Roman" w:hAnsi="Times New Roman"/>
          <w:b w:val="0"/>
          <w:i w:val="0"/>
          <w:sz w:val="24"/>
        </w:rPr>
      </w:r>
    </w:p>
    <w:p>
      <w:pPr>
        <w:jc w:val="center"/>
      </w:pPr>
      <w:r>
        <w:rPr>
          <w:rFonts w:ascii="Times New Roman" w:hAnsi="Times New Roman"/>
          <w:b w:val="0"/>
          <w:i w:val="0"/>
          <w:sz w:val="20"/>
        </w:rPr>
        <w:t>Version: 2.0.0 — Journal Revision | Date: July 2026 | Classification: PUBLIC (C0) | License: CC BY 4.0</w:t>
      </w:r>
    </w:p>
    <w:p>
      <w:r>
        <w:rPr>
          <w:rFonts w:ascii="Times New Roman" w:hAnsi="Times New Roman"/>
          <w:b w:val="0"/>
          <w:i w:val="0"/>
          <w:sz w:val="24"/>
        </w:rPr>
      </w:r>
    </w:p>
    <w:p>
      <w:pPr>
        <w:jc w:val="center"/>
      </w:pPr>
      <w:r>
        <w:rPr>
          <w:rFonts w:ascii="Times New Roman" w:hAnsi="Times New Roman"/>
          <w:b w:val="0"/>
          <w:i/>
          <w:sz w:val="22"/>
        </w:rPr>
        <w:t>Reference Work: "You Can Hide Your Name... Not Your Mind: How Artificial Intelligence Reveals the Human Behind Digital Identities — Introducing the AnubisX Attribution Framework"</w:t>
      </w:r>
    </w:p>
    <w:p>
      <w:pPr>
        <w:jc w:val="center"/>
      </w:pPr>
      <w:r>
        <w:rPr>
          <w:rFonts w:ascii="Times New Roman" w:hAnsi="Times New Roman"/>
          <w:b w:val="0"/>
          <w:i w:val="0"/>
          <w:sz w:val="20"/>
        </w:rPr>
        <w:t>Amazon: https://www.amazon.com/dp/B0H8LCTTWW</w:t>
      </w:r>
    </w:p>
    <w:p>
      <w:r>
        <w:br w:type="page"/>
      </w:r>
    </w:p>
    <w:p>
      <w:pPr>
        <w:pStyle w:val="Heading1"/>
      </w:pPr>
      <w:r>
        <w:rPr>
          <w:rFonts w:ascii="Times New Roman" w:hAnsi="Times New Roman"/>
          <w:color w:val="000000"/>
        </w:rPr>
        <w:t>Abstract</w:t>
      </w:r>
    </w:p>
    <w:p>
      <w:r>
        <w:rPr>
          <w:rFonts w:ascii="Times New Roman" w:hAnsi="Times New Roman"/>
          <w:b w:val="0"/>
          <w:i w:val="0"/>
          <w:sz w:val="24"/>
        </w:rPr>
        <w:t>Digital attribution — linking digital actions and artifacts to their human source — is a foundational capability in cyber threat intelligence, digital forensics, and national security. Current methodologies rely primarily on technical artifacts (IP addresses, device fingerprints, network identifiers) that sophisticated adversaries can spoof or eliminate. Behavioral attribution offers an alternative paradigm: analyzing intrinsic patterns of human cognition observable through digital traces.</w:t>
      </w:r>
    </w:p>
    <w:p>
      <w:r>
        <w:rPr>
          <w:rFonts w:ascii="Times New Roman" w:hAnsi="Times New Roman"/>
          <w:b w:val="0"/>
          <w:i w:val="0"/>
          <w:sz w:val="24"/>
        </w:rPr>
        <w:t>This paper presents the AnubisX Framework, a scientific methodology for behavioral digital identity attribution. The framework comprises: (1) a formal theoretical foundation of 16 axioms, 20 research hypotheses, and 18 design principles organized around Cognitive Centroid theory; (2) a mathematical framework of 292 objects across 24 categories with a likelihood ratio evidence model; (3) 37 algorithms across 9 domains spanning five behavioral modalities (stylometric, temporal, terminal, network, media); and (4) a four-tier validation infrastructure with 38 defined experiments, 24 benchmarks, and 20 case studies.</w:t>
      </w:r>
    </w:p>
    <w:p>
      <w:r>
        <w:rPr>
          <w:rFonts w:ascii="Times New Roman" w:hAnsi="Times New Roman"/>
          <w:b w:val="0"/>
          <w:i w:val="0"/>
          <w:sz w:val="24"/>
        </w:rPr>
        <w:t>A prototype implementation, Anubis Twitter v2.5 (47 Python source files, ~2,800 LOC), validates the stylometric modality for Arabic Twitter data. Fifteen proof-of-concept experiments on 31 Egyptian Twitter accounts demonstrate: 372-dimensional fingerprint extraction with dimensional consistency verified across all accounts; FAISS-based similarity search at approximately 6–8 µs mean latency; cross-user similarity distributions with mean 0.697 (σ = 0.105) across 465 identity pairs from raw experimental data. Egyptian content analysis identified 144 keyword matches, 58 slang expressions, and 12 location mentions. Of ten core claims, six achieve publication-ready validation status.</w:t>
      </w:r>
    </w:p>
    <w:p>
      <w:r>
        <w:rPr>
          <w:rFonts w:ascii="Times New Roman" w:hAnsi="Times New Roman"/>
          <w:b w:val="0"/>
          <w:i w:val="0"/>
          <w:sz w:val="24"/>
        </w:rPr>
        <w:t>All claims, limitations, and validation outcomes are transparently documented. The formal experiment catalog (38 experiments) and benchmark suite (24 benchmarks) are fully specified but unexecuted. The framework is released as open source under CC BY 4.0.</w:t>
      </w:r>
    </w:p>
    <w:p>
      <w:r>
        <w:rPr>
          <w:rFonts w:ascii="Times New Roman" w:hAnsi="Times New Roman"/>
          <w:b w:val="0"/>
          <w:i/>
          <w:sz w:val="22"/>
        </w:rPr>
        <w:t>Keywords: Behavioral Attribution; Digital Identity; Artificial Intelligence; Stylometry; Behavioral Fingerprinting; Cyber Threat Intelligence; Digital Forensics; OSINT; Authorship Attribution; Cognitive Centroid</w:t>
      </w:r>
    </w:p>
    <w:p>
      <w:r>
        <w:br w:type="page"/>
      </w:r>
    </w:p>
    <w:p>
      <w:pPr>
        <w:pStyle w:val="Heading1"/>
      </w:pPr>
      <w:r>
        <w:rPr>
          <w:rFonts w:ascii="Times New Roman" w:hAnsi="Times New Roman"/>
          <w:color w:val="000000"/>
        </w:rPr>
        <w:t>1. Introduction</w:t>
      </w:r>
    </w:p>
    <w:p>
      <w:r>
        <w:rPr>
          <w:rFonts w:ascii="Times New Roman" w:hAnsi="Times New Roman"/>
          <w:b w:val="0"/>
          <w:i w:val="0"/>
          <w:sz w:val="24"/>
        </w:rPr>
        <w:t>Digital attribution — determining the human source of digital actions and communications — is a foundational requirement across multiple security and intelligence domains. Cyber threat intelligence (CTI) operations require attribution of attacks to specific threat actors [1][2]. Digital forensic investigations must link artifacts to suspects [3]. Counter-fraud analysis requires linking fraudulent accounts to their operators [4]. National security applications include disinformation campaign attribution and tracking of malicious influence operations [5].</w:t>
      </w:r>
    </w:p>
    <w:p>
      <w:r>
        <w:rPr>
          <w:rFonts w:ascii="Times New Roman" w:hAnsi="Times New Roman"/>
          <w:b w:val="0"/>
          <w:i w:val="0"/>
          <w:sz w:val="24"/>
        </w:rPr>
        <w:t>Current attribution methodologies operate primarily at the technical level, analyzing artifacts such as IP addresses, device fingerprints, browser configurations, and network-level identifiers [6]. These approaches are effective against unsophisticated adversaries but exhibit fundamental limitations: IP addresses are trivially anonymized through VPNs, proxy chains, or Tor; device fingerprints can be randomized; browser fingerprints can be standardized. Sophisticated adversaries deploy counter-forensic measures that render purely technical attribution unreliable [7].</w:t>
      </w:r>
    </w:p>
    <w:p>
      <w:r>
        <w:rPr>
          <w:rFonts w:ascii="Times New Roman" w:hAnsi="Times New Roman"/>
          <w:b w:val="0"/>
          <w:i w:val="0"/>
          <w:sz w:val="24"/>
        </w:rPr>
        <w:t>Behavioral attribution addresses these limitations by shifting the analytical focus from transient technical identifiers to persistent human behavioral patterns. The premise is that individuals exhibit unique, measurable, and persistent behavioral characteristics in their digital interactions — a digital behavioral fingerprint — arising from stable cognitive processes including language production, temporal rhythms, social interaction styles, and procedural learning. Unlike technical artifacts, behavioral patterns are intrinsic to the operator and cannot be eliminated without fundamentally altering the operator's interaction with digital systems [8][9].</w:t>
      </w:r>
    </w:p>
    <w:p>
      <w:r>
        <w:rPr>
          <w:rFonts w:ascii="Times New Roman" w:hAnsi="Times New Roman"/>
          <w:b w:val="0"/>
          <w:i w:val="0"/>
          <w:sz w:val="24"/>
        </w:rPr>
        <w:t>The AnubisX Framework formalizes this premise into a complete scientific methodology. Its contributions are:</w:t>
      </w:r>
    </w:p>
    <w:p>
      <w:pPr>
        <w:pStyle w:val="ListBullet"/>
        <w:ind w:left="720"/>
      </w:pPr>
      <w:r>
        <w:rPr>
          <w:rFonts w:ascii="Times New Roman" w:hAnsi="Times New Roman"/>
          <w:sz w:val="24"/>
        </w:rPr>
        <w:t>A formal theoretical model based on Cognitive Centroid theory, comprising 16 logically necessary axioms, 20 empirically testable hypotheses, and 18 design principles [10][11][12].</w:t>
      </w:r>
    </w:p>
    <w:p>
      <w:pPr>
        <w:pStyle w:val="ListBullet"/>
        <w:ind w:left="720"/>
      </w:pPr>
      <w:r>
        <w:rPr>
          <w:rFonts w:ascii="Times New Roman" w:hAnsi="Times New Roman"/>
          <w:sz w:val="24"/>
        </w:rPr>
        <w:t>A comprehensive mathematical framework with 292 objects across 24 categories, including a likelihood ratio evidence evaluation model for forensic attribution [13].</w:t>
      </w:r>
    </w:p>
    <w:p>
      <w:pPr>
        <w:pStyle w:val="ListBullet"/>
        <w:ind w:left="720"/>
      </w:pPr>
      <w:r>
        <w:rPr>
          <w:rFonts w:ascii="Times New Roman" w:hAnsi="Times New Roman"/>
          <w:sz w:val="24"/>
        </w:rPr>
        <w:t>An algorithmic catalog of 37 algorithms across 9 domains, spanning five behavioral modalities: stylometric, chrono-profiling, terminal profiling, network analysis, and media forensics [14].</w:t>
      </w:r>
    </w:p>
    <w:p>
      <w:pPr>
        <w:pStyle w:val="ListBullet"/>
        <w:ind w:left="720"/>
      </w:pPr>
      <w:r>
        <w:rPr>
          <w:rFonts w:ascii="Times New Roman" w:hAnsi="Times New Roman"/>
          <w:sz w:val="24"/>
        </w:rPr>
        <w:t>A six-layer architecture with a six-stage pipeline supporting identification, verification, and forensic comparison workflows [15].</w:t>
      </w:r>
    </w:p>
    <w:p>
      <w:pPr>
        <w:pStyle w:val="ListBullet"/>
        <w:ind w:left="720"/>
      </w:pPr>
      <w:r>
        <w:rPr>
          <w:rFonts w:ascii="Times New Roman" w:hAnsi="Times New Roman"/>
          <w:sz w:val="24"/>
        </w:rPr>
        <w:t>A multi-tier validation infrastructure with 38 formal experiments, 24 benchmarks, 30 baselines, and 33 acceptance criteria across 4 tiers [16].</w:t>
      </w:r>
    </w:p>
    <w:p>
      <w:pPr>
        <w:pStyle w:val="ListBullet"/>
        <w:ind w:left="720"/>
      </w:pPr>
      <w:r>
        <w:rPr>
          <w:rFonts w:ascii="Times New Roman" w:hAnsi="Times New Roman"/>
          <w:sz w:val="24"/>
        </w:rPr>
        <w:t>A prototype implementation (Anubis Twitter v2.5) demonstrating the stylometric modality for Arabic Twitter data with 15 reproducible experiments on 31 accounts [17][18].</w:t>
      </w:r>
    </w:p>
    <w:p>
      <w:r>
        <w:rPr>
          <w:rFonts w:ascii="Times New Roman" w:hAnsi="Times New Roman"/>
          <w:b w:val="0"/>
          <w:i w:val="0"/>
          <w:sz w:val="24"/>
        </w:rPr>
        <w:t>This paper presents the v2.0 Journal Revision, expanded from the v1.0 Foundational Release with additional related work, practical implications, and enhanced discussion of limitations. The release provides a complete theoretical and methodological infrastructure whose formal empirical validation is in progress. The framework is not presented as a validated system but as a research infrastructure for systematic investigation of behavioral digital attribution.</w:t>
      </w:r>
    </w:p>
    <w:p>
      <w:pPr>
        <w:pStyle w:val="Heading1"/>
      </w:pPr>
      <w:r>
        <w:rPr>
          <w:rFonts w:ascii="Times New Roman" w:hAnsi="Times New Roman"/>
          <w:color w:val="000000"/>
        </w:rPr>
        <w:t>2. Problem Statement</w:t>
      </w:r>
    </w:p>
    <w:p>
      <w:r>
        <w:rPr>
          <w:rFonts w:ascii="Times New Roman" w:hAnsi="Times New Roman"/>
          <w:b w:val="0"/>
          <w:i w:val="0"/>
          <w:sz w:val="24"/>
        </w:rPr>
        <w:t>We formally state the behavioral attribution problem as follows.</w:t>
      </w:r>
    </w:p>
    <w:p>
      <w:r>
        <w:rPr>
          <w:rFonts w:ascii="Times New Roman" w:hAnsi="Times New Roman"/>
          <w:b w:val="0"/>
          <w:i w:val="0"/>
          <w:sz w:val="24"/>
        </w:rPr>
        <w:t>Let S = {s₁, s₂, ..., sₘ} be a set of unknown human sources. Let D = {d₁, d₂, ..., dₙ} be a set of digital artifacts produced by sources in S. Each artifact dᵢ is produced by exactly one source s(dᵢ) ∈ S. The problem is to determine, given D and possibly additional contextual information, the mapping from artifacts to sources.</w:t>
      </w:r>
    </w:p>
    <w:p>
      <w:r>
        <w:rPr>
          <w:rFonts w:ascii="Times New Roman" w:hAnsi="Times New Roman"/>
          <w:b w:val="0"/>
          <w:i w:val="0"/>
          <w:sz w:val="24"/>
        </w:rPr>
        <w:t>Three operational variants are defined:</w:t>
      </w:r>
    </w:p>
    <w:p>
      <w:pPr>
        <w:pStyle w:val="ListBullet"/>
        <w:ind w:left="720"/>
      </w:pPr>
      <w:r>
        <w:rPr>
          <w:rFonts w:ascii="Times New Roman" w:hAnsi="Times New Roman"/>
          <w:sz w:val="24"/>
        </w:rPr>
        <w:t>Identification (1:N matching): Given a query artifact dₓ with unknown source, rank the sources in S by the probability that s(dₓ) = sᵢ.</w:t>
      </w:r>
    </w:p>
    <w:p>
      <w:pPr>
        <w:pStyle w:val="ListBullet"/>
        <w:ind w:left="720"/>
      </w:pPr>
      <w:r>
        <w:rPr>
          <w:rFonts w:ascii="Times New Roman" w:hAnsi="Times New Roman"/>
          <w:sz w:val="24"/>
        </w:rPr>
        <w:t>Verification (1:1 matching): Given artifacts dₐ and dₓ, determine the probability that s(dₐ) = s(dₓ).</w:t>
      </w:r>
    </w:p>
    <w:p>
      <w:pPr>
        <w:pStyle w:val="ListBullet"/>
        <w:ind w:left="720"/>
      </w:pPr>
      <w:r>
        <w:rPr>
          <w:rFonts w:ascii="Times New Roman" w:hAnsi="Times New Roman"/>
          <w:sz w:val="24"/>
        </w:rPr>
        <w:t>Forensic comparison (1:1 with evidence grading): Given artifacts dₐ and dₓ, compute the likelihood ratio LR = P(evidence | same source) / P(evidence | different source).</w:t>
      </w:r>
    </w:p>
    <w:p>
      <w:r>
        <w:rPr>
          <w:rFonts w:ascii="Times New Roman" w:hAnsi="Times New Roman"/>
          <w:b w:val="0"/>
          <w:i w:val="0"/>
          <w:sz w:val="24"/>
        </w:rPr>
        <w:t>The fundamental challenge is that the mapping from source to artifact is mediated through technical systems that introduce noise, transformation, and obfuscation. The behavioral signal must be disentangled from platform-specific effects, contextual variation, temporal drift, and counter-forensic manipulation [10][13].</w:t>
      </w:r>
    </w:p>
    <w:p>
      <w:r>
        <w:rPr>
          <w:rFonts w:ascii="Times New Roman" w:hAnsi="Times New Roman"/>
          <w:b w:val="0"/>
          <w:i w:val="0"/>
          <w:sz w:val="24"/>
        </w:rPr>
        <w:t>The framework addresses three specific limitations of existing approaches: (1) technical attribution methods fail against anonymization; (2) existing behavioral methods are narrow in scope, typically addressing a single modality; (3) most prior work lacks formal, pre-specified validation criteria with calibration thresholds defined a priori rather than post hoc.</w:t>
      </w:r>
    </w:p>
    <w:p>
      <w:pPr>
        <w:pStyle w:val="Heading1"/>
      </w:pPr>
      <w:r>
        <w:rPr>
          <w:rFonts w:ascii="Times New Roman" w:hAnsi="Times New Roman"/>
          <w:color w:val="000000"/>
        </w:rPr>
        <w:t>3. Related Work</w:t>
      </w:r>
    </w:p>
    <w:p>
      <w:pPr>
        <w:pStyle w:val="Heading2"/>
      </w:pPr>
      <w:r>
        <w:rPr>
          <w:rFonts w:ascii="Times New Roman" w:hAnsi="Times New Roman"/>
          <w:color w:val="000000"/>
        </w:rPr>
        <w:t>3.1 Authorship Attribution and Stylometry</w:t>
      </w:r>
    </w:p>
    <w:p>
      <w:r>
        <w:rPr>
          <w:rFonts w:ascii="Times New Roman" w:hAnsi="Times New Roman"/>
          <w:b w:val="0"/>
          <w:i w:val="0"/>
          <w:sz w:val="24"/>
        </w:rPr>
        <w:t>Authorship attribution is the most developed subfield of behavioral attribution. Computational stylometry, dating to Mosteller and Wallace's (1964) seminal Bayesian analysis of the Federalist Papers [19], uses quantitative text features — function word frequencies, vocabulary richness, sentence length distributions, syntactic patterns — to discriminate among authors. Stamatatos (2009) provided the definitive survey of modern authorship attribution methods, establishing the field's computational and methodological foundations [20]. Koppel, Schler, and Argamon (2009) systematically reviewed computational methods, identifying the "fundamental problem" of authorship attribution and the conditions under which different approaches succeed [21].</w:t>
      </w:r>
    </w:p>
    <w:p>
      <w:r>
        <w:rPr>
          <w:rFonts w:ascii="Times New Roman" w:hAnsi="Times New Roman"/>
          <w:b w:val="0"/>
          <w:i w:val="0"/>
          <w:sz w:val="24"/>
        </w:rPr>
        <w:t>The PAN workshop series (CLEF) has provided standardized benchmarks for authorship attribution across multiple languages and genres since 2010. PAN 2023 introduced cross-discourse type authorship verification across written and spoken language, while PAN 2024 initiated generative AI authorship verification, formulating AI-generated text detection as an authorship problem [22][23][24]. The 2025 PAN edition focused on generative AI detection sensitivity and human-AI collaborative text classification [25].</w:t>
      </w:r>
    </w:p>
    <w:p>
      <w:r>
        <w:rPr>
          <w:rFonts w:ascii="Times New Roman" w:hAnsi="Times New Roman"/>
          <w:b w:val="0"/>
          <w:i w:val="0"/>
          <w:sz w:val="24"/>
        </w:rPr>
        <w:t>Modern approaches employ transformer-based language models for stylometric feature extraction. Sentence-BERT (Reimers and Gurevych, 2019) demonstrated that siamese BERT networks produce semantically meaningful sentence embeddings that can be compared via cosine similarity, enabling large-scale semantic similarity search [26]. BERT-based authorship attribution has been applied to classical Arabic texts, achieving 97% accuracy with AraELECTRA on Islamic legal texts [27]. The Arabic NLP community has produced dedicated shared tasks including AraGenEval (2025) for Arabic authorship style transfer and identification [28], and AbjadAuthorID (2026) for Arabic-script language authorship identification [29].</w:t>
      </w:r>
    </w:p>
    <w:p>
      <w:r>
        <w:rPr>
          <w:rFonts w:ascii="Times New Roman" w:hAnsi="Times New Roman"/>
          <w:b w:val="0"/>
          <w:i w:val="0"/>
          <w:sz w:val="24"/>
        </w:rPr>
        <w:t>The concept of "writeprints" — unique stylistic markers analogous to fingerprints — has been explored in forensic linguistics [30] and digital forensics [31]. Abbasi and Chen (2008) introduced the writeprints framework for identity-level identification in cyberspace [32]. However, most stylometric research addresses single-modality, single-platform, and single-language scenarios. The AnubisX Framework extends stylometry by embedding it within a broader multi-modal framework with formal mathematical specification.</w:t>
      </w:r>
    </w:p>
    <w:p>
      <w:pPr>
        <w:spacing w:before="240"/>
        <w:jc w:val="center"/>
      </w:pPr>
      <w:r>
        <w:rPr>
          <w:rFonts w:ascii="Times New Roman" w:hAnsi="Times New Roman"/>
          <w:i/>
          <w:color w:val="646464"/>
          <w:sz w:val="20"/>
        </w:rPr>
        <w:t>[PLACEHOLDER: Fig. 1 — Authorship Attribution Research Timeline]</w:t>
      </w:r>
    </w:p>
    <w:p>
      <w:pPr>
        <w:spacing w:after="240"/>
        <w:jc w:val="center"/>
      </w:pPr>
      <w:r>
        <w:rPr>
          <w:rFonts w:ascii="Times New Roman" w:hAnsi="Times New Roman"/>
          <w:i/>
          <w:sz w:val="20"/>
        </w:rPr>
        <w:t>Figure: Timeline of authorship attribution research from Mosteller and Wallace (1964) through contemporary PAN shared tasks, showing the evolution from statistical to deep learning approaches.</w:t>
      </w:r>
    </w:p>
    <w:p>
      <w:pPr>
        <w:pStyle w:val="Heading2"/>
      </w:pPr>
      <w:r>
        <w:rPr>
          <w:rFonts w:ascii="Times New Roman" w:hAnsi="Times New Roman"/>
          <w:color w:val="000000"/>
        </w:rPr>
        <w:t>3.2 Digital Forensics and Cyber Threat Intelligence</w:t>
      </w:r>
    </w:p>
    <w:p>
      <w:r>
        <w:rPr>
          <w:rFonts w:ascii="Times New Roman" w:hAnsi="Times New Roman"/>
          <w:b w:val="0"/>
          <w:i w:val="0"/>
          <w:sz w:val="24"/>
        </w:rPr>
        <w:t>Digital forensics traditionally focuses on technical artifacts: file system metadata, network logs, memory dumps, and device identifiers [3][33]. Cyber threat intelligence (CTI) extends this to adversary profiling and campaign attribution [34]. The IEEE Communications Surveys &amp; Tutorials CTI survey (2023) comprehensively reviewed CTI mining from multiple data sources, proposing a taxonomy for cybersecurity entities, attack tactics, and threat hunting [35]. A 2025 survey of cyber threat attribution by Prasad et al. (Computers &amp; Security) systematically analyzed technical, legal, geopolitical, social, and economic dimensions, proposing a novel taxonomy structured by attribution confidence, analytical domains, and adversarial motivation [1].</w:t>
      </w:r>
    </w:p>
    <w:p>
      <w:r>
        <w:rPr>
          <w:rFonts w:ascii="Times New Roman" w:hAnsi="Times New Roman"/>
          <w:b w:val="0"/>
          <w:i w:val="0"/>
          <w:sz w:val="24"/>
        </w:rPr>
        <w:t>CTI attribution remains predominantly reliant on technical indicators of compromise (IOCs) and infrastructure analysis. Recent work has explored LLM-based attribution: Guru et al. (Stanford, 2025) evaluated GPT-4 and text-embedding-3-large for threat actor TTP extraction and attribution using MITRE ATT&amp;CK [36]. Irshad and Siddiqui (2023) developed an NLP-based mechanism using "Attack2vec" domain-specific embeddings for cyber threat attribution from unstructured CTI reports, achieving 96% accuracy [37]. Behavioral attribution as a complementary signal for CTI analysis has been proposed but lacks formal methodological foundations [5].</w:t>
      </w:r>
    </w:p>
    <w:p>
      <w:pPr>
        <w:pStyle w:val="Heading2"/>
      </w:pPr>
      <w:r>
        <w:rPr>
          <w:rFonts w:ascii="Times New Roman" w:hAnsi="Times New Roman"/>
          <w:color w:val="000000"/>
        </w:rPr>
        <w:t>3.3 Behavioral Biometrics</w:t>
      </w:r>
    </w:p>
    <w:p>
      <w:r>
        <w:rPr>
          <w:rFonts w:ascii="Times New Roman" w:hAnsi="Times New Roman"/>
          <w:b w:val="0"/>
          <w:i w:val="0"/>
          <w:sz w:val="24"/>
        </w:rPr>
        <w:t>Behavioral biometrics encompasses keystroke dynamics, mouse movement analysis, gait recognition, and voice pattern analysis [38]. These modalities share the premise that behavioral patterns are personally identifying. Khan et al. (2024) published a comprehensive ACM Computing Surveys review of mouse dynamics and widget interactions spanning 1897–2023 [39]. Keystroke dynamics surveys cover concepts, techniques, and applications for user authentication and identification [40].</w:t>
      </w:r>
    </w:p>
    <w:p>
      <w:r>
        <w:rPr>
          <w:rFonts w:ascii="Times New Roman" w:hAnsi="Times New Roman"/>
          <w:b w:val="0"/>
          <w:i w:val="0"/>
          <w:sz w:val="24"/>
        </w:rPr>
        <w:t>However, behavioral biometrics typically operate in controlled environments with enrolled users and dedicated sensors. The framework targets the more challenging scenario of attribution in uncontrolled, multi-platform digital environments with passive observation, where ground truth identity labels are rarely available and behavioral signals are confounded by platform effects and contextual variation.</w:t>
      </w:r>
    </w:p>
    <w:p>
      <w:pPr>
        <w:pStyle w:val="Heading2"/>
      </w:pPr>
      <w:r>
        <w:rPr>
          <w:rFonts w:ascii="Times New Roman" w:hAnsi="Times New Roman"/>
          <w:color w:val="000000"/>
        </w:rPr>
        <w:t>3.4 Open-Source Intelligence and Digital Identity Research</w:t>
      </w:r>
    </w:p>
    <w:p>
      <w:r>
        <w:rPr>
          <w:rFonts w:ascii="Times New Roman" w:hAnsi="Times New Roman"/>
          <w:b w:val="0"/>
          <w:i w:val="0"/>
          <w:sz w:val="24"/>
        </w:rPr>
        <w:t>OSINT investigations routinely link digital identities across platforms, typically relying on explicit identifiers (usernames, email addresses, profile photos) rather than behavioral analysis [4]. Cross-platform identity resolution through metadata correlation and account linkage has been explored, but behavioral methods remain underrepresented in operational OSINT workflows. Forensic authorship profiling using geolocated social media data has demonstrated corpus-based methods for regional dialect identification [41].</w:t>
      </w:r>
    </w:p>
    <w:p>
      <w:pPr>
        <w:pStyle w:val="Heading2"/>
      </w:pPr>
      <w:r>
        <w:rPr>
          <w:rFonts w:ascii="Times New Roman" w:hAnsi="Times New Roman"/>
          <w:color w:val="000000"/>
        </w:rPr>
        <w:t>3.5 Identity Intelligence (IdINT)</w:t>
      </w:r>
    </w:p>
    <w:p>
      <w:r>
        <w:rPr>
          <w:rFonts w:ascii="Times New Roman" w:hAnsi="Times New Roman"/>
          <w:b w:val="0"/>
          <w:i w:val="0"/>
          <w:sz w:val="24"/>
        </w:rPr>
        <w:t>The framework proposes Identity Intelligence (IdINT) as a distinct analytical discipline analogous to SIGINT, HUMINT, and GEOINT — focused on systematic collection, analysis, and interpretation of behavioral identity evidence from digital traces [10]. To the best of our knowledge, this is the first formal theoretical and methodological foundation for this discipline, though related concepts have been discussed in the context of cyber attribution [1][5].</w:t>
      </w:r>
    </w:p>
    <w:p>
      <w:pPr>
        <w:pStyle w:val="Heading2"/>
      </w:pPr>
      <w:r>
        <w:rPr>
          <w:rFonts w:ascii="Times New Roman" w:hAnsi="Times New Roman"/>
          <w:color w:val="000000"/>
        </w:rPr>
        <w:t>3.6 Comparative Analysis</w:t>
      </w:r>
    </w:p>
    <w:p>
      <w:r>
        <w:rPr>
          <w:rFonts w:ascii="Times New Roman" w:hAnsi="Times New Roman"/>
          <w:b w:val="0"/>
          <w:i w:val="0"/>
          <w:sz w:val="24"/>
        </w:rPr>
        <w:t>Table 1 provides a qualitative comparison of the AnubisX Framework with existing approaches across key dimensions.</w:t>
      </w:r>
    </w:p>
    <w:p>
      <w:pPr>
        <w:spacing w:before="240"/>
        <w:jc w:val="center"/>
      </w:pPr>
      <w:r>
        <w:rPr>
          <w:rFonts w:ascii="Times New Roman" w:hAnsi="Times New Roman"/>
          <w:b/>
          <w:i/>
          <w:sz w:val="20"/>
        </w:rPr>
        <w:t>Table 1. Comparative analysis of the AnubisX Framework against existing approaches.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tcPr>
          <w:p>
            <w:pPr>
              <w:jc w:val="center"/>
            </w:pPr>
            <w:r>
              <w:rPr>
                <w:rFonts w:ascii="Times New Roman" w:hAnsi="Times New Roman"/>
                <w:b/>
                <w:sz w:val="18"/>
              </w:rPr>
              <w:t>Dimension</w:t>
            </w:r>
          </w:p>
        </w:tc>
        <w:tc>
          <w:tcPr>
            <w:tcW w:type="dxa" w:w="1504"/>
            <w:shd w:fill="D9E2F3"/>
          </w:tcPr>
          <w:p>
            <w:pPr>
              <w:jc w:val="center"/>
            </w:pPr>
            <w:r>
              <w:rPr>
                <w:rFonts w:ascii="Times New Roman" w:hAnsi="Times New Roman"/>
                <w:b/>
                <w:sz w:val="18"/>
              </w:rPr>
              <w:t>Stylometry</w:t>
            </w:r>
          </w:p>
        </w:tc>
        <w:tc>
          <w:tcPr>
            <w:tcW w:type="dxa" w:w="1504"/>
            <w:shd w:fill="D9E2F3"/>
          </w:tcPr>
          <w:p>
            <w:pPr>
              <w:jc w:val="center"/>
            </w:pPr>
            <w:r>
              <w:rPr>
                <w:rFonts w:ascii="Times New Roman" w:hAnsi="Times New Roman"/>
                <w:b/>
                <w:sz w:val="18"/>
              </w:rPr>
              <w:t>Behav. Biometrics</w:t>
            </w:r>
          </w:p>
        </w:tc>
        <w:tc>
          <w:tcPr>
            <w:tcW w:type="dxa" w:w="1504"/>
            <w:shd w:fill="D9E2F3"/>
          </w:tcPr>
          <w:p>
            <w:pPr>
              <w:jc w:val="center"/>
            </w:pPr>
            <w:r>
              <w:rPr>
                <w:rFonts w:ascii="Times New Roman" w:hAnsi="Times New Roman"/>
                <w:b/>
                <w:sz w:val="18"/>
              </w:rPr>
              <w:t>CTI Attribution</w:t>
            </w:r>
          </w:p>
        </w:tc>
        <w:tc>
          <w:tcPr>
            <w:tcW w:type="dxa" w:w="1504"/>
            <w:shd w:fill="D9E2F3"/>
          </w:tcPr>
          <w:p>
            <w:pPr>
              <w:jc w:val="center"/>
            </w:pPr>
            <w:r>
              <w:rPr>
                <w:rFonts w:ascii="Times New Roman" w:hAnsi="Times New Roman"/>
                <w:b/>
                <w:sz w:val="18"/>
              </w:rPr>
              <w:t>Digital Forensics</w:t>
            </w:r>
          </w:p>
        </w:tc>
        <w:tc>
          <w:tcPr>
            <w:tcW w:type="dxa" w:w="1504"/>
            <w:shd w:fill="D9E2F3"/>
          </w:tcPr>
          <w:p>
            <w:pPr>
              <w:jc w:val="center"/>
            </w:pPr>
            <w:r>
              <w:rPr>
                <w:rFonts w:ascii="Times New Roman" w:hAnsi="Times New Roman"/>
                <w:b/>
                <w:sz w:val="18"/>
              </w:rPr>
              <w:t>AnubisX</w:t>
            </w:r>
          </w:p>
        </w:tc>
      </w:tr>
      <w:tr>
        <w:tc>
          <w:tcPr>
            <w:tcW w:type="dxa" w:w="1504"/>
          </w:tcPr>
          <w:p>
            <w:pPr>
              <w:jc w:val="center"/>
            </w:pPr>
            <w:r>
              <w:rPr>
                <w:rFonts w:ascii="Times New Roman" w:hAnsi="Times New Roman"/>
                <w:sz w:val="18"/>
              </w:rPr>
              <w:t>Multi-modal scope</w:t>
            </w:r>
          </w:p>
        </w:tc>
        <w:tc>
          <w:tcPr>
            <w:tcW w:type="dxa" w:w="1504"/>
          </w:tcPr>
          <w:p>
            <w:pPr>
              <w:jc w:val="center"/>
            </w:pPr>
            <w:r>
              <w:rPr>
                <w:rFonts w:ascii="Times New Roman" w:hAnsi="Times New Roman"/>
                <w:sz w:val="18"/>
              </w:rPr>
              <w:t>No (text only)</w:t>
            </w:r>
          </w:p>
        </w:tc>
        <w:tc>
          <w:tcPr>
            <w:tcW w:type="dxa" w:w="1504"/>
          </w:tcPr>
          <w:p>
            <w:pPr>
              <w:jc w:val="center"/>
            </w:pPr>
            <w:r>
              <w:rPr>
                <w:rFonts w:ascii="Times New Roman" w:hAnsi="Times New Roman"/>
                <w:sz w:val="18"/>
              </w:rPr>
              <w:t>Limited (1-2 modes)</w:t>
            </w:r>
          </w:p>
        </w:tc>
        <w:tc>
          <w:tcPr>
            <w:tcW w:type="dxa" w:w="1504"/>
          </w:tcPr>
          <w:p>
            <w:pPr>
              <w:jc w:val="center"/>
            </w:pPr>
            <w:r>
              <w:rPr>
                <w:rFonts w:ascii="Times New Roman" w:hAnsi="Times New Roman"/>
                <w:sz w:val="18"/>
              </w:rPr>
              <w:t>No (IOC-based)</w:t>
            </w:r>
          </w:p>
        </w:tc>
        <w:tc>
          <w:tcPr>
            <w:tcW w:type="dxa" w:w="1504"/>
          </w:tcPr>
          <w:p>
            <w:pPr>
              <w:jc w:val="center"/>
            </w:pPr>
            <w:r>
              <w:rPr>
                <w:rFonts w:ascii="Times New Roman" w:hAnsi="Times New Roman"/>
                <w:sz w:val="18"/>
              </w:rPr>
              <w:t>No (artifact-based)</w:t>
            </w:r>
          </w:p>
        </w:tc>
        <w:tc>
          <w:tcPr>
            <w:tcW w:type="dxa" w:w="1504"/>
          </w:tcPr>
          <w:p>
            <w:pPr>
              <w:jc w:val="center"/>
            </w:pPr>
            <w:r>
              <w:rPr>
                <w:rFonts w:ascii="Times New Roman" w:hAnsi="Times New Roman"/>
                <w:sz w:val="18"/>
              </w:rPr>
              <w:t>Yes (5 modalities)</w:t>
            </w:r>
          </w:p>
        </w:tc>
      </w:tr>
      <w:tr>
        <w:tc>
          <w:tcPr>
            <w:tcW w:type="dxa" w:w="1504"/>
          </w:tcPr>
          <w:p>
            <w:pPr>
              <w:jc w:val="center"/>
            </w:pPr>
            <w:r>
              <w:rPr>
                <w:rFonts w:ascii="Times New Roman" w:hAnsi="Times New Roman"/>
                <w:sz w:val="18"/>
              </w:rPr>
              <w:t>Formal theory</w:t>
            </w:r>
          </w:p>
        </w:tc>
        <w:tc>
          <w:tcPr>
            <w:tcW w:type="dxa" w:w="1504"/>
          </w:tcPr>
          <w:p>
            <w:pPr>
              <w:jc w:val="center"/>
            </w:pPr>
            <w:r>
              <w:rPr>
                <w:rFonts w:ascii="Times New Roman" w:hAnsi="Times New Roman"/>
                <w:sz w:val="18"/>
              </w:rPr>
              <w:t>Partial</w:t>
            </w:r>
          </w:p>
        </w:tc>
        <w:tc>
          <w:tcPr>
            <w:tcW w:type="dxa" w:w="1504"/>
          </w:tcPr>
          <w:p>
            <w:pPr>
              <w:jc w:val="center"/>
            </w:pPr>
            <w:r>
              <w:rPr>
                <w:rFonts w:ascii="Times New Roman" w:hAnsi="Times New Roman"/>
                <w:sz w:val="18"/>
              </w:rPr>
              <w:t>Partial</w:t>
            </w:r>
          </w:p>
        </w:tc>
        <w:tc>
          <w:tcPr>
            <w:tcW w:type="dxa" w:w="1504"/>
          </w:tcPr>
          <w:p>
            <w:pPr>
              <w:jc w:val="center"/>
            </w:pPr>
            <w:r>
              <w:rPr>
                <w:rFonts w:ascii="Times New Roman" w:hAnsi="Times New Roman"/>
                <w:sz w:val="18"/>
              </w:rPr>
              <w:t>Minimal</w:t>
            </w:r>
          </w:p>
        </w:tc>
        <w:tc>
          <w:tcPr>
            <w:tcW w:type="dxa" w:w="1504"/>
          </w:tcPr>
          <w:p>
            <w:pPr>
              <w:jc w:val="center"/>
            </w:pPr>
            <w:r>
              <w:rPr>
                <w:rFonts w:ascii="Times New Roman" w:hAnsi="Times New Roman"/>
                <w:sz w:val="18"/>
              </w:rPr>
              <w:t>Minimal</w:t>
            </w:r>
          </w:p>
        </w:tc>
        <w:tc>
          <w:tcPr>
            <w:tcW w:type="dxa" w:w="1504"/>
          </w:tcPr>
          <w:p>
            <w:pPr>
              <w:jc w:val="center"/>
            </w:pPr>
            <w:r>
              <w:rPr>
                <w:rFonts w:ascii="Times New Roman" w:hAnsi="Times New Roman"/>
                <w:sz w:val="18"/>
              </w:rPr>
              <w:t>16 axioms, 20 hypotheses</w:t>
            </w:r>
          </w:p>
        </w:tc>
      </w:tr>
      <w:tr>
        <w:tc>
          <w:tcPr>
            <w:tcW w:type="dxa" w:w="1504"/>
          </w:tcPr>
          <w:p>
            <w:pPr>
              <w:jc w:val="center"/>
            </w:pPr>
            <w:r>
              <w:rPr>
                <w:rFonts w:ascii="Times New Roman" w:hAnsi="Times New Roman"/>
                <w:sz w:val="18"/>
              </w:rPr>
              <w:t>Math. framework</w:t>
            </w:r>
          </w:p>
        </w:tc>
        <w:tc>
          <w:tcPr>
            <w:tcW w:type="dxa" w:w="1504"/>
          </w:tcPr>
          <w:p>
            <w:pPr>
              <w:jc w:val="center"/>
            </w:pPr>
            <w:r>
              <w:rPr>
                <w:rFonts w:ascii="Times New Roman" w:hAnsi="Times New Roman"/>
                <w:sz w:val="18"/>
              </w:rPr>
              <w:t>Limited</w:t>
            </w:r>
          </w:p>
        </w:tc>
        <w:tc>
          <w:tcPr>
            <w:tcW w:type="dxa" w:w="1504"/>
          </w:tcPr>
          <w:p>
            <w:pPr>
              <w:jc w:val="center"/>
            </w:pPr>
            <w:r>
              <w:rPr>
                <w:rFonts w:ascii="Times New Roman" w:hAnsi="Times New Roman"/>
                <w:sz w:val="18"/>
              </w:rPr>
              <w:t>Limited</w:t>
            </w:r>
          </w:p>
        </w:tc>
        <w:tc>
          <w:tcPr>
            <w:tcW w:type="dxa" w:w="1504"/>
          </w:tcPr>
          <w:p>
            <w:pPr>
              <w:jc w:val="center"/>
            </w:pPr>
            <w:r>
              <w:rPr>
                <w:rFonts w:ascii="Times New Roman" w:hAnsi="Times New Roman"/>
                <w:sz w:val="18"/>
              </w:rPr>
              <w:t>No</w:t>
            </w:r>
          </w:p>
        </w:tc>
        <w:tc>
          <w:tcPr>
            <w:tcW w:type="dxa" w:w="1504"/>
          </w:tcPr>
          <w:p>
            <w:pPr>
              <w:jc w:val="center"/>
            </w:pPr>
            <w:r>
              <w:rPr>
                <w:rFonts w:ascii="Times New Roman" w:hAnsi="Times New Roman"/>
                <w:sz w:val="18"/>
              </w:rPr>
              <w:t>No</w:t>
            </w:r>
          </w:p>
        </w:tc>
        <w:tc>
          <w:tcPr>
            <w:tcW w:type="dxa" w:w="1504"/>
          </w:tcPr>
          <w:p>
            <w:pPr>
              <w:jc w:val="center"/>
            </w:pPr>
            <w:r>
              <w:rPr>
                <w:rFonts w:ascii="Times New Roman" w:hAnsi="Times New Roman"/>
                <w:sz w:val="18"/>
              </w:rPr>
              <w:t>292 objects, 24 categories</w:t>
            </w:r>
          </w:p>
        </w:tc>
      </w:tr>
      <w:tr>
        <w:tc>
          <w:tcPr>
            <w:tcW w:type="dxa" w:w="1504"/>
          </w:tcPr>
          <w:p>
            <w:pPr>
              <w:jc w:val="center"/>
            </w:pPr>
            <w:r>
              <w:rPr>
                <w:rFonts w:ascii="Times New Roman" w:hAnsi="Times New Roman"/>
                <w:sz w:val="18"/>
              </w:rPr>
              <w:t>Pre-spec. criteria</w:t>
            </w:r>
          </w:p>
        </w:tc>
        <w:tc>
          <w:tcPr>
            <w:tcW w:type="dxa" w:w="1504"/>
          </w:tcPr>
          <w:p>
            <w:pPr>
              <w:jc w:val="center"/>
            </w:pPr>
            <w:r>
              <w:rPr>
                <w:rFonts w:ascii="Times New Roman" w:hAnsi="Times New Roman"/>
                <w:sz w:val="18"/>
              </w:rPr>
              <w:t>Rare</w:t>
            </w:r>
          </w:p>
        </w:tc>
        <w:tc>
          <w:tcPr>
            <w:tcW w:type="dxa" w:w="1504"/>
          </w:tcPr>
          <w:p>
            <w:pPr>
              <w:jc w:val="center"/>
            </w:pPr>
            <w:r>
              <w:rPr>
                <w:rFonts w:ascii="Times New Roman" w:hAnsi="Times New Roman"/>
                <w:sz w:val="18"/>
              </w:rPr>
              <w:t>Rare</w:t>
            </w:r>
          </w:p>
        </w:tc>
        <w:tc>
          <w:tcPr>
            <w:tcW w:type="dxa" w:w="1504"/>
          </w:tcPr>
          <w:p>
            <w:pPr>
              <w:jc w:val="center"/>
            </w:pPr>
            <w:r>
              <w:rPr>
                <w:rFonts w:ascii="Times New Roman" w:hAnsi="Times New Roman"/>
                <w:sz w:val="18"/>
              </w:rPr>
              <w:t>Rare</w:t>
            </w:r>
          </w:p>
        </w:tc>
        <w:tc>
          <w:tcPr>
            <w:tcW w:type="dxa" w:w="1504"/>
          </w:tcPr>
          <w:p>
            <w:pPr>
              <w:jc w:val="center"/>
            </w:pPr>
            <w:r>
              <w:rPr>
                <w:rFonts w:ascii="Times New Roman" w:hAnsi="Times New Roman"/>
                <w:sz w:val="18"/>
              </w:rPr>
              <w:t>Rare</w:t>
            </w:r>
          </w:p>
        </w:tc>
        <w:tc>
          <w:tcPr>
            <w:tcW w:type="dxa" w:w="1504"/>
          </w:tcPr>
          <w:p>
            <w:pPr>
              <w:jc w:val="center"/>
            </w:pPr>
            <w:r>
              <w:rPr>
                <w:rFonts w:ascii="Times New Roman" w:hAnsi="Times New Roman"/>
                <w:sz w:val="18"/>
              </w:rPr>
              <w:t>33 criteria, 4 tiers</w:t>
            </w:r>
          </w:p>
        </w:tc>
      </w:tr>
      <w:tr>
        <w:tc>
          <w:tcPr>
            <w:tcW w:type="dxa" w:w="1504"/>
          </w:tcPr>
          <w:p>
            <w:pPr>
              <w:jc w:val="center"/>
            </w:pPr>
            <w:r>
              <w:rPr>
                <w:rFonts w:ascii="Times New Roman" w:hAnsi="Times New Roman"/>
                <w:sz w:val="18"/>
              </w:rPr>
              <w:t>Validated prototype</w:t>
            </w:r>
          </w:p>
        </w:tc>
        <w:tc>
          <w:tcPr>
            <w:tcW w:type="dxa" w:w="1504"/>
          </w:tcPr>
          <w:p>
            <w:pPr>
              <w:jc w:val="center"/>
            </w:pPr>
            <w:r>
              <w:rPr>
                <w:rFonts w:ascii="Times New Roman" w:hAnsi="Times New Roman"/>
                <w:sz w:val="18"/>
              </w:rPr>
              <w:t>Many systems</w:t>
            </w:r>
          </w:p>
        </w:tc>
        <w:tc>
          <w:tcPr>
            <w:tcW w:type="dxa" w:w="1504"/>
          </w:tcPr>
          <w:p>
            <w:pPr>
              <w:jc w:val="center"/>
            </w:pPr>
            <w:r>
              <w:rPr>
                <w:rFonts w:ascii="Times New Roman" w:hAnsi="Times New Roman"/>
                <w:sz w:val="18"/>
              </w:rPr>
              <w:t>Many systems</w:t>
            </w:r>
          </w:p>
        </w:tc>
        <w:tc>
          <w:tcPr>
            <w:tcW w:type="dxa" w:w="1504"/>
          </w:tcPr>
          <w:p>
            <w:pPr>
              <w:jc w:val="center"/>
            </w:pPr>
            <w:r>
              <w:rPr>
                <w:rFonts w:ascii="Times New Roman" w:hAnsi="Times New Roman"/>
                <w:sz w:val="18"/>
              </w:rPr>
              <w:t>Few</w:t>
            </w:r>
          </w:p>
        </w:tc>
        <w:tc>
          <w:tcPr>
            <w:tcW w:type="dxa" w:w="1504"/>
          </w:tcPr>
          <w:p>
            <w:pPr>
              <w:jc w:val="center"/>
            </w:pPr>
            <w:r>
              <w:rPr>
                <w:rFonts w:ascii="Times New Roman" w:hAnsi="Times New Roman"/>
                <w:sz w:val="18"/>
              </w:rPr>
              <w:t>Many tools</w:t>
            </w:r>
          </w:p>
        </w:tc>
        <w:tc>
          <w:tcPr>
            <w:tcW w:type="dxa" w:w="1504"/>
          </w:tcPr>
          <w:p>
            <w:pPr>
              <w:jc w:val="center"/>
            </w:pPr>
            <w:r>
              <w:rPr>
                <w:rFonts w:ascii="Times New Roman" w:hAnsi="Times New Roman"/>
                <w:sz w:val="18"/>
              </w:rPr>
              <w:t>Stylometric modality</w:t>
            </w:r>
          </w:p>
        </w:tc>
      </w:tr>
      <w:tr>
        <w:tc>
          <w:tcPr>
            <w:tcW w:type="dxa" w:w="1504"/>
          </w:tcPr>
          <w:p>
            <w:pPr>
              <w:jc w:val="center"/>
            </w:pPr>
            <w:r>
              <w:rPr>
                <w:rFonts w:ascii="Times New Roman" w:hAnsi="Times New Roman"/>
                <w:sz w:val="18"/>
              </w:rPr>
              <w:t>Open science</w:t>
            </w:r>
          </w:p>
        </w:tc>
        <w:tc>
          <w:tcPr>
            <w:tcW w:type="dxa" w:w="1504"/>
          </w:tcPr>
          <w:p>
            <w:pPr>
              <w:jc w:val="center"/>
            </w:pPr>
            <w:r>
              <w:rPr>
                <w:rFonts w:ascii="Times New Roman" w:hAnsi="Times New Roman"/>
                <w:sz w:val="18"/>
              </w:rPr>
              <w:t>Partial</w:t>
            </w:r>
          </w:p>
        </w:tc>
        <w:tc>
          <w:tcPr>
            <w:tcW w:type="dxa" w:w="1504"/>
          </w:tcPr>
          <w:p>
            <w:pPr>
              <w:jc w:val="center"/>
            </w:pPr>
            <w:r>
              <w:rPr>
                <w:rFonts w:ascii="Times New Roman" w:hAnsi="Times New Roman"/>
                <w:sz w:val="18"/>
              </w:rPr>
              <w:t>Partial</w:t>
            </w:r>
          </w:p>
        </w:tc>
        <w:tc>
          <w:tcPr>
            <w:tcW w:type="dxa" w:w="1504"/>
          </w:tcPr>
          <w:p>
            <w:pPr>
              <w:jc w:val="center"/>
            </w:pPr>
            <w:r>
              <w:rPr>
                <w:rFonts w:ascii="Times New Roman" w:hAnsi="Times New Roman"/>
                <w:sz w:val="18"/>
              </w:rPr>
              <w:t>Minimal</w:t>
            </w:r>
          </w:p>
        </w:tc>
        <w:tc>
          <w:tcPr>
            <w:tcW w:type="dxa" w:w="1504"/>
          </w:tcPr>
          <w:p>
            <w:pPr>
              <w:jc w:val="center"/>
            </w:pPr>
            <w:r>
              <w:rPr>
                <w:rFonts w:ascii="Times New Roman" w:hAnsi="Times New Roman"/>
                <w:sz w:val="18"/>
              </w:rPr>
              <w:t>Minimal</w:t>
            </w:r>
          </w:p>
        </w:tc>
        <w:tc>
          <w:tcPr>
            <w:tcW w:type="dxa" w:w="1504"/>
          </w:tcPr>
          <w:p>
            <w:pPr>
              <w:jc w:val="center"/>
            </w:pPr>
            <w:r>
              <w:rPr>
                <w:rFonts w:ascii="Times New Roman" w:hAnsi="Times New Roman"/>
                <w:sz w:val="18"/>
              </w:rPr>
              <w:t>Full CC BY 4.0</w:t>
            </w:r>
          </w:p>
        </w:tc>
      </w:tr>
    </w:tbl>
    <w:p>
      <w:pPr>
        <w:pStyle w:val="Heading1"/>
      </w:pPr>
      <w:r>
        <w:rPr>
          <w:rFonts w:ascii="Times New Roman" w:hAnsi="Times New Roman"/>
          <w:color w:val="000000"/>
        </w:rPr>
        <w:t>4. Research Gap</w:t>
      </w:r>
    </w:p>
    <w:p>
      <w:r>
        <w:rPr>
          <w:rFonts w:ascii="Times New Roman" w:hAnsi="Times New Roman"/>
          <w:b w:val="0"/>
          <w:i w:val="0"/>
          <w:sz w:val="24"/>
        </w:rPr>
        <w:t>Analysis of existing literature reveals three significant gaps:</w:t>
      </w:r>
    </w:p>
    <w:p>
      <w:pPr>
        <w:pStyle w:val="ListBullet"/>
        <w:ind w:left="720"/>
      </w:pPr>
      <w:r>
        <w:rPr>
          <w:rFonts w:ascii="Times New Roman" w:hAnsi="Times New Roman"/>
          <w:sz w:val="24"/>
        </w:rPr>
        <w:t>Gap 1: Fragmentation. Behavioral attribution methods are developed independently across stylometry [20][21], biometrics [39], digital forensics [3], and OSINT, without a unifying theoretical or mathematical foundation. Cross-modal integration is ad hoc.</w:t>
      </w:r>
    </w:p>
    <w:p>
      <w:pPr>
        <w:pStyle w:val="ListBullet"/>
        <w:ind w:left="720"/>
      </w:pPr>
      <w:r>
        <w:rPr>
          <w:rFonts w:ascii="Times New Roman" w:hAnsi="Times New Roman"/>
          <w:sz w:val="24"/>
        </w:rPr>
        <w:t>Gap 2: Methodological rigor. Most work lacks formal, pre-specified validation criteria. Thresholds are selected post hoc, limiting reproducibility and making independent verification difficult [20].</w:t>
      </w:r>
    </w:p>
    <w:p>
      <w:pPr>
        <w:pStyle w:val="ListBullet"/>
        <w:ind w:left="720"/>
      </w:pPr>
      <w:r>
        <w:rPr>
          <w:rFonts w:ascii="Times New Roman" w:hAnsi="Times New Roman"/>
          <w:sz w:val="24"/>
        </w:rPr>
        <w:t>Gap 3: Transparency. Comprehensive documentation of limitations and failure modes is uncommon in behavioral attribution research, impeding operational adoption and scientific progress.</w:t>
      </w:r>
    </w:p>
    <w:p>
      <w:r>
        <w:rPr>
          <w:rFonts w:ascii="Times New Roman" w:hAnsi="Times New Roman"/>
          <w:b w:val="0"/>
          <w:i w:val="0"/>
          <w:sz w:val="24"/>
        </w:rPr>
        <w:t>The AnubisX Framework addresses these gaps through its integrative design, formal validation infrastructure, and commitment to transparent documentation.</w:t>
      </w:r>
    </w:p>
    <w:p>
      <w:pPr>
        <w:pStyle w:val="Heading1"/>
      </w:pPr>
      <w:r>
        <w:rPr>
          <w:rFonts w:ascii="Times New Roman" w:hAnsi="Times New Roman"/>
          <w:color w:val="000000"/>
        </w:rPr>
        <w:t>5. Contributions</w:t>
      </w:r>
    </w:p>
    <w:p>
      <w:pPr>
        <w:pStyle w:val="ListBullet"/>
        <w:ind w:left="720"/>
      </w:pPr>
      <w:r>
        <w:rPr>
          <w:rFonts w:ascii="Times New Roman" w:hAnsi="Times New Roman"/>
          <w:sz w:val="24"/>
        </w:rPr>
        <w:t>Contribution 1: Cognitive Centroid Theory. A formal theoretical model positing that each individual possesses an invariant core behavioral signature — the Cognitive Centroid — with formally defined properties of uniqueness, stability, measurability, and invariance [10][11].</w:t>
      </w:r>
    </w:p>
    <w:p>
      <w:pPr>
        <w:pStyle w:val="ListBullet"/>
        <w:ind w:left="720"/>
      </w:pPr>
      <w:r>
        <w:rPr>
          <w:rFonts w:ascii="Times New Roman" w:hAnsi="Times New Roman"/>
          <w:sz w:val="24"/>
        </w:rPr>
        <w:t>Contribution 2: 16-Axiom Logical Foundation. A set of logically necessary axioms governing behavioral attribution, organized into six groups (Core, Behavior, Identity, Attribution, Evidence, Reasoning) [11].</w:t>
      </w:r>
    </w:p>
    <w:p>
      <w:pPr>
        <w:pStyle w:val="ListBullet"/>
        <w:ind w:left="720"/>
      </w:pPr>
      <w:r>
        <w:rPr>
          <w:rFonts w:ascii="Times New Roman" w:hAnsi="Times New Roman"/>
          <w:sz w:val="24"/>
        </w:rPr>
        <w:t>Contribution 3: 292-Object Mathematical Framework. A comprehensive mathematical structure with 24 categories across 6 layers, including formal definitions for 10 mathematical spaces, 9 distance functions, and 7 similarity functions [13].</w:t>
      </w:r>
    </w:p>
    <w:p>
      <w:pPr>
        <w:pStyle w:val="ListBullet"/>
        <w:ind w:left="720"/>
      </w:pPr>
      <w:r>
        <w:rPr>
          <w:rFonts w:ascii="Times New Roman" w:hAnsi="Times New Roman"/>
          <w:sz w:val="24"/>
        </w:rPr>
        <w:t>Contribution 4: 37-Algorithm Catalog. Algorithms spanning 9 domains (Core Pipeline, Behavioral Processing, Identity Determination, Evidence Processing, Attribution Scoring, Confidence Estimation, Similarity &amp; Distance, Multi-Modal Fusion, Decision Logic). Status: 33 ESTABLISHED, 2 PROPOSED, 2 TBD, 1 FUTURE [14].</w:t>
      </w:r>
    </w:p>
    <w:p>
      <w:pPr>
        <w:pStyle w:val="ListBullet"/>
        <w:ind w:left="720"/>
      </w:pPr>
      <w:r>
        <w:rPr>
          <w:rFonts w:ascii="Times New Roman" w:hAnsi="Times New Roman"/>
          <w:sz w:val="24"/>
        </w:rPr>
        <w:t>Contribution 5: Six-Layer Architecture. A layered architecture (Data, Feature, Profile, Comparison, Evidence, Decision) with a six-stage pipeline supporting three workflows [15].</w:t>
      </w:r>
    </w:p>
    <w:p>
      <w:pPr>
        <w:pStyle w:val="ListBullet"/>
        <w:ind w:left="720"/>
      </w:pPr>
      <w:r>
        <w:rPr>
          <w:rFonts w:ascii="Times New Roman" w:hAnsi="Times New Roman"/>
          <w:sz w:val="24"/>
        </w:rPr>
        <w:t>Contribution 6: Multi-Tier Validation Infrastructure. 38 defined experiments across 6 domains, 24 benchmarks across 8 suites, 30 baselines in 4 categories, 33 acceptance criteria across 4 tiers [16].</w:t>
      </w:r>
    </w:p>
    <w:p>
      <w:pPr>
        <w:pStyle w:val="ListBullet"/>
        <w:ind w:left="720"/>
      </w:pPr>
      <w:r>
        <w:rPr>
          <w:rFonts w:ascii="Times New Roman" w:hAnsi="Times New Roman"/>
          <w:sz w:val="24"/>
        </w:rPr>
        <w:t>Contribution 7: Prototype Validation (Stylometric Modality). Fifteen proof-of-concept experiments on 31 Egyptian Twitter accounts demonstrating the stylometric fingerprinting pipeline [17][18].</w:t>
      </w:r>
    </w:p>
    <w:p>
      <w:pPr>
        <w:pStyle w:val="Heading1"/>
      </w:pPr>
      <w:r>
        <w:rPr>
          <w:rFonts w:ascii="Times New Roman" w:hAnsi="Times New Roman"/>
          <w:color w:val="000000"/>
        </w:rPr>
        <w:t>6. Theoretical Foundation</w:t>
      </w:r>
    </w:p>
    <w:p>
      <w:pPr>
        <w:pStyle w:val="Heading2"/>
      </w:pPr>
      <w:r>
        <w:rPr>
          <w:rFonts w:ascii="Times New Roman" w:hAnsi="Times New Roman"/>
          <w:color w:val="000000"/>
        </w:rPr>
        <w:t>6.1 Axiomatic System</w:t>
      </w:r>
    </w:p>
    <w:p>
      <w:r>
        <w:rPr>
          <w:rFonts w:ascii="Times New Roman" w:hAnsi="Times New Roman"/>
          <w:b w:val="0"/>
          <w:i w:val="0"/>
          <w:sz w:val="24"/>
        </w:rPr>
        <w:t>The framework is grounded in 16 formal axioms organized into six groups. Each axiom states an invariant property that any valid behavioral attribution methodology must satisfy [11].</w:t>
      </w:r>
    </w:p>
    <w:p>
      <w:pPr>
        <w:spacing w:before="240"/>
        <w:jc w:val="center"/>
      </w:pPr>
      <w:r>
        <w:rPr>
          <w:rFonts w:ascii="Times New Roman" w:hAnsi="Times New Roman"/>
          <w:b/>
          <w:i/>
          <w:sz w:val="20"/>
        </w:rPr>
        <w:t>Table 2. Axiom groups, counts, and scope.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Pr>
                <w:rFonts w:ascii="Times New Roman" w:hAnsi="Times New Roman"/>
                <w:b/>
                <w:sz w:val="18"/>
              </w:rPr>
              <w:t>Group</w:t>
            </w:r>
          </w:p>
        </w:tc>
        <w:tc>
          <w:tcPr>
            <w:tcW w:type="dxa" w:w="3009"/>
            <w:shd w:fill="D9E2F3"/>
          </w:tcPr>
          <w:p>
            <w:pPr>
              <w:jc w:val="center"/>
            </w:pPr>
            <w:r>
              <w:rPr>
                <w:rFonts w:ascii="Times New Roman" w:hAnsi="Times New Roman"/>
                <w:b/>
                <w:sz w:val="18"/>
              </w:rPr>
              <w:t>Count</w:t>
            </w:r>
          </w:p>
        </w:tc>
        <w:tc>
          <w:tcPr>
            <w:tcW w:type="dxa" w:w="3009"/>
            <w:shd w:fill="D9E2F3"/>
          </w:tcPr>
          <w:p>
            <w:pPr>
              <w:jc w:val="center"/>
            </w:pPr>
            <w:r>
              <w:rPr>
                <w:rFonts w:ascii="Times New Roman" w:hAnsi="Times New Roman"/>
                <w:b/>
                <w:sz w:val="18"/>
              </w:rPr>
              <w:t>Scope</w:t>
            </w:r>
          </w:p>
        </w:tc>
      </w:tr>
      <w:tr>
        <w:tc>
          <w:tcPr>
            <w:tcW w:type="dxa" w:w="3009"/>
          </w:tcPr>
          <w:p>
            <w:pPr>
              <w:jc w:val="center"/>
            </w:pPr>
            <w:r>
              <w:rPr>
                <w:rFonts w:ascii="Times New Roman" w:hAnsi="Times New Roman"/>
                <w:sz w:val="18"/>
              </w:rPr>
              <w:t>Core (AXIOM-CORE)</w:t>
            </w:r>
          </w:p>
        </w:tc>
        <w:tc>
          <w:tcPr>
            <w:tcW w:type="dxa" w:w="3009"/>
          </w:tcPr>
          <w:p>
            <w:pPr>
              <w:jc w:val="center"/>
            </w:pPr>
            <w:r>
              <w:rPr>
                <w:rFonts w:ascii="Times New Roman" w:hAnsi="Times New Roman"/>
                <w:sz w:val="18"/>
              </w:rPr>
              <w:t>4</w:t>
            </w:r>
          </w:p>
        </w:tc>
        <w:tc>
          <w:tcPr>
            <w:tcW w:type="dxa" w:w="3009"/>
          </w:tcPr>
          <w:p>
            <w:pPr>
              <w:jc w:val="center"/>
            </w:pPr>
            <w:r>
              <w:rPr>
                <w:rFonts w:ascii="Times New Roman" w:hAnsi="Times New Roman"/>
                <w:sz w:val="18"/>
              </w:rPr>
              <w:t>Uncertainty conservation, measurement prerequisite, evidential boundedness, attribution reflexivity</w:t>
            </w:r>
          </w:p>
        </w:tc>
      </w:tr>
      <w:tr>
        <w:tc>
          <w:tcPr>
            <w:tcW w:type="dxa" w:w="3009"/>
          </w:tcPr>
          <w:p>
            <w:pPr>
              <w:jc w:val="center"/>
            </w:pPr>
            <w:r>
              <w:rPr>
                <w:rFonts w:ascii="Times New Roman" w:hAnsi="Times New Roman"/>
                <w:sz w:val="18"/>
              </w:rPr>
              <w:t>Behavior (AXIOM-BEH)</w:t>
            </w:r>
          </w:p>
        </w:tc>
        <w:tc>
          <w:tcPr>
            <w:tcW w:type="dxa" w:w="3009"/>
          </w:tcPr>
          <w:p>
            <w:pPr>
              <w:jc w:val="center"/>
            </w:pPr>
            <w:r>
              <w:rPr>
                <w:rFonts w:ascii="Times New Roman" w:hAnsi="Times New Roman"/>
                <w:sz w:val="18"/>
              </w:rPr>
              <w:t>3</w:t>
            </w:r>
          </w:p>
        </w:tc>
        <w:tc>
          <w:tcPr>
            <w:tcW w:type="dxa" w:w="3009"/>
          </w:tcPr>
          <w:p>
            <w:pPr>
              <w:jc w:val="center"/>
            </w:pPr>
            <w:r>
              <w:rPr>
                <w:rFonts w:ascii="Times New Roman" w:hAnsi="Times New Roman"/>
                <w:sz w:val="18"/>
              </w:rPr>
              <w:t>Signal composition, signal non-identity, comparison relativity</w:t>
            </w:r>
          </w:p>
        </w:tc>
      </w:tr>
      <w:tr>
        <w:tc>
          <w:tcPr>
            <w:tcW w:type="dxa" w:w="3009"/>
          </w:tcPr>
          <w:p>
            <w:pPr>
              <w:jc w:val="center"/>
            </w:pPr>
            <w:r>
              <w:rPr>
                <w:rFonts w:ascii="Times New Roman" w:hAnsi="Times New Roman"/>
                <w:sz w:val="18"/>
              </w:rPr>
              <w:t>Identity (AXIOM-ID)</w:t>
            </w:r>
          </w:p>
        </w:tc>
        <w:tc>
          <w:tcPr>
            <w:tcW w:type="dxa" w:w="3009"/>
          </w:tcPr>
          <w:p>
            <w:pPr>
              <w:jc w:val="center"/>
            </w:pPr>
            <w:r>
              <w:rPr>
                <w:rFonts w:ascii="Times New Roman" w:hAnsi="Times New Roman"/>
                <w:sz w:val="18"/>
              </w:rPr>
              <w:t>2</w:t>
            </w:r>
          </w:p>
        </w:tc>
        <w:tc>
          <w:tcPr>
            <w:tcW w:type="dxa" w:w="3009"/>
          </w:tcPr>
          <w:p>
            <w:pPr>
              <w:jc w:val="center"/>
            </w:pPr>
            <w:r>
              <w:rPr>
                <w:rFonts w:ascii="Times New Roman" w:hAnsi="Times New Roman"/>
                <w:sz w:val="18"/>
              </w:rPr>
              <w:t>Identity consistency, identity non-repudiation</w:t>
            </w:r>
          </w:p>
        </w:tc>
      </w:tr>
      <w:tr>
        <w:tc>
          <w:tcPr>
            <w:tcW w:type="dxa" w:w="3009"/>
          </w:tcPr>
          <w:p>
            <w:pPr>
              <w:jc w:val="center"/>
            </w:pPr>
            <w:r>
              <w:rPr>
                <w:rFonts w:ascii="Times New Roman" w:hAnsi="Times New Roman"/>
                <w:sz w:val="18"/>
              </w:rPr>
              <w:t>Attribution (AXIOM-ATR)</w:t>
            </w:r>
          </w:p>
        </w:tc>
        <w:tc>
          <w:tcPr>
            <w:tcW w:type="dxa" w:w="3009"/>
          </w:tcPr>
          <w:p>
            <w:pPr>
              <w:jc w:val="center"/>
            </w:pPr>
            <w:r>
              <w:rPr>
                <w:rFonts w:ascii="Times New Roman" w:hAnsi="Times New Roman"/>
                <w:sz w:val="18"/>
              </w:rPr>
              <w:t>2</w:t>
            </w:r>
          </w:p>
        </w:tc>
        <w:tc>
          <w:tcPr>
            <w:tcW w:type="dxa" w:w="3009"/>
          </w:tcPr>
          <w:p>
            <w:pPr>
              <w:jc w:val="center"/>
            </w:pPr>
            <w:r>
              <w:rPr>
                <w:rFonts w:ascii="Times New Roman" w:hAnsi="Times New Roman"/>
                <w:sz w:val="18"/>
              </w:rPr>
              <w:t>Conclusion grounding, uncertainty honesty</w:t>
            </w:r>
          </w:p>
        </w:tc>
      </w:tr>
      <w:tr>
        <w:tc>
          <w:tcPr>
            <w:tcW w:type="dxa" w:w="3009"/>
          </w:tcPr>
          <w:p>
            <w:pPr>
              <w:jc w:val="center"/>
            </w:pPr>
            <w:r>
              <w:rPr>
                <w:rFonts w:ascii="Times New Roman" w:hAnsi="Times New Roman"/>
                <w:sz w:val="18"/>
              </w:rPr>
              <w:t>Evidence (AXIOM-EVI)</w:t>
            </w:r>
          </w:p>
        </w:tc>
        <w:tc>
          <w:tcPr>
            <w:tcW w:type="dxa" w:w="3009"/>
          </w:tcPr>
          <w:p>
            <w:pPr>
              <w:jc w:val="center"/>
            </w:pPr>
            <w:r>
              <w:rPr>
                <w:rFonts w:ascii="Times New Roman" w:hAnsi="Times New Roman"/>
                <w:sz w:val="18"/>
              </w:rPr>
              <w:t>3</w:t>
            </w:r>
          </w:p>
        </w:tc>
        <w:tc>
          <w:tcPr>
            <w:tcW w:type="dxa" w:w="3009"/>
          </w:tcPr>
          <w:p>
            <w:pPr>
              <w:jc w:val="center"/>
            </w:pPr>
            <w:r>
              <w:rPr>
                <w:rFonts w:ascii="Times New Roman" w:hAnsi="Times New Roman"/>
                <w:sz w:val="18"/>
              </w:rPr>
              <w:t>Evidence non-contradiction, evidence completeness, fusion monotonicity</w:t>
            </w:r>
          </w:p>
        </w:tc>
      </w:tr>
      <w:tr>
        <w:tc>
          <w:tcPr>
            <w:tcW w:type="dxa" w:w="3009"/>
          </w:tcPr>
          <w:p>
            <w:pPr>
              <w:jc w:val="center"/>
            </w:pPr>
            <w:r>
              <w:rPr>
                <w:rFonts w:ascii="Times New Roman" w:hAnsi="Times New Roman"/>
                <w:sz w:val="18"/>
              </w:rPr>
              <w:t>Reasoning (AXIOM-RSN)</w:t>
            </w:r>
          </w:p>
        </w:tc>
        <w:tc>
          <w:tcPr>
            <w:tcW w:type="dxa" w:w="3009"/>
          </w:tcPr>
          <w:p>
            <w:pPr>
              <w:jc w:val="center"/>
            </w:pPr>
            <w:r>
              <w:rPr>
                <w:rFonts w:ascii="Times New Roman" w:hAnsi="Times New Roman"/>
                <w:sz w:val="18"/>
              </w:rPr>
              <w:t>2</w:t>
            </w:r>
          </w:p>
        </w:tc>
        <w:tc>
          <w:tcPr>
            <w:tcW w:type="dxa" w:w="3009"/>
          </w:tcPr>
          <w:p>
            <w:pPr>
              <w:jc w:val="center"/>
            </w:pPr>
            <w:r>
              <w:rPr>
                <w:rFonts w:ascii="Times New Roman" w:hAnsi="Times New Roman"/>
                <w:sz w:val="18"/>
              </w:rPr>
              <w:t>Logical consistency, inference validity</w:t>
            </w:r>
          </w:p>
        </w:tc>
      </w:tr>
    </w:tbl>
    <w:p>
      <w:pPr>
        <w:pStyle w:val="Heading2"/>
      </w:pPr>
      <w:r>
        <w:rPr>
          <w:rFonts w:ascii="Times New Roman" w:hAnsi="Times New Roman"/>
          <w:color w:val="000000"/>
        </w:rPr>
        <w:t>6.2 Cognitive Centroid Theory</w:t>
      </w:r>
    </w:p>
    <w:p>
      <w:r>
        <w:rPr>
          <w:rFonts w:ascii="Times New Roman" w:hAnsi="Times New Roman"/>
          <w:b w:val="0"/>
          <w:i w:val="0"/>
          <w:sz w:val="24"/>
        </w:rPr>
        <w:t>The central theoretical construct is the Cognitive Centroid, defined as the asymptotic mean of an individual's behavioral feature vectors as the number of observations approaches infinity [10]:</w:t>
      </w:r>
    </w:p>
    <w:p>
      <w:r>
        <w:rPr>
          <w:rFonts w:ascii="Times New Roman" w:hAnsi="Times New Roman"/>
          <w:b w:val="0"/>
          <w:i/>
          <w:sz w:val="24"/>
        </w:rPr>
        <w:t>C = lim_{n→∞} (1/n) Σ_{k=1}^{n} B(t_k)</w:t>
      </w:r>
    </w:p>
    <w:p>
      <w:r>
        <w:rPr>
          <w:rFonts w:ascii="Times New Roman" w:hAnsi="Times New Roman"/>
          <w:b w:val="0"/>
          <w:i w:val="0"/>
          <w:sz w:val="24"/>
        </w:rPr>
        <w:t>where B(t_k) is the behavioral feature vector at observation time t_k. The Cognitive Centroid possesses four formal properties:</w:t>
      </w:r>
    </w:p>
    <w:p>
      <w:pPr>
        <w:pStyle w:val="ListBullet"/>
        <w:ind w:left="720"/>
      </w:pPr>
      <w:r>
        <w:rPr>
          <w:rFonts w:ascii="Times New Roman" w:hAnsi="Times New Roman"/>
          <w:sz w:val="24"/>
        </w:rPr>
        <w:t>Uniqueness: Each individual has a unique Cognitive Centroid in behavioral feature space.</w:t>
      </w:r>
    </w:p>
    <w:p>
      <w:pPr>
        <w:pStyle w:val="ListBullet"/>
        <w:ind w:left="720"/>
      </w:pPr>
      <w:r>
        <w:rPr>
          <w:rFonts w:ascii="Times New Roman" w:hAnsi="Times New Roman"/>
          <w:sz w:val="24"/>
        </w:rPr>
        <w:t>Stability: The centroid converges to a stable value as observations increase.</w:t>
      </w:r>
    </w:p>
    <w:p>
      <w:pPr>
        <w:pStyle w:val="ListBullet"/>
        <w:ind w:left="720"/>
      </w:pPr>
      <w:r>
        <w:rPr>
          <w:rFonts w:ascii="Times New Roman" w:hAnsi="Times New Roman"/>
          <w:sz w:val="24"/>
        </w:rPr>
        <w:t>Measurability: The centroid can be estimated from observable behavioral data.</w:t>
      </w:r>
    </w:p>
    <w:p>
      <w:pPr>
        <w:pStyle w:val="ListBullet"/>
        <w:ind w:left="720"/>
      </w:pPr>
      <w:r>
        <w:rPr>
          <w:rFonts w:ascii="Times New Roman" w:hAnsi="Times New Roman"/>
          <w:sz w:val="24"/>
        </w:rPr>
        <w:t>Invariance: The centroid is invariant across platforms and technical environments.</w:t>
      </w:r>
    </w:p>
    <w:p>
      <w:r>
        <w:rPr>
          <w:rFonts w:ascii="Times New Roman" w:hAnsi="Times New Roman"/>
          <w:b w:val="0"/>
          <w:i w:val="0"/>
          <w:sz w:val="24"/>
        </w:rPr>
        <w:t>This formalizes the principle that additional behavioral data yields more reliable attribution estimates. Formal proof of the convergence rate and conditions remains an open theoretical question [10].</w:t>
      </w:r>
    </w:p>
    <w:p>
      <w:pPr>
        <w:pStyle w:val="Heading2"/>
      </w:pPr>
      <w:r>
        <w:rPr>
          <w:rFonts w:ascii="Times New Roman" w:hAnsi="Times New Roman"/>
          <w:color w:val="000000"/>
        </w:rPr>
        <w:t>6.3 Research Hypotheses</w:t>
      </w:r>
    </w:p>
    <w:p>
      <w:r>
        <w:rPr>
          <w:rFonts w:ascii="Times New Roman" w:hAnsi="Times New Roman"/>
          <w:b w:val="0"/>
          <w:i w:val="0"/>
          <w:sz w:val="24"/>
        </w:rPr>
        <w:t>The framework defines 20 research hypotheses organized into four groups: Core Hypotheses (4), Behavioral Hypotheses (6), Identity Hypotheses (5), and Cross-Domain Hypotheses (5). All hypotheses are at PROPOSED status — formally specified and awaiting empirical testing [12]. Key hypotheses include:</w:t>
      </w:r>
    </w:p>
    <w:p>
      <w:pPr>
        <w:pStyle w:val="ListBullet"/>
        <w:ind w:left="720"/>
      </w:pPr>
      <w:r>
        <w:rPr>
          <w:rFonts w:ascii="Times New Roman" w:hAnsi="Times New Roman"/>
          <w:sz w:val="24"/>
        </w:rPr>
        <w:t>HYP-CORE-001 (Identity Invariance): An individual's cognitive processing habits converge toward a unique, stable attractor in behavioral feature space.</w:t>
      </w:r>
    </w:p>
    <w:p>
      <w:pPr>
        <w:pStyle w:val="ListBullet"/>
        <w:ind w:left="720"/>
      </w:pPr>
      <w:r>
        <w:rPr>
          <w:rFonts w:ascii="Times New Roman" w:hAnsi="Times New Roman"/>
          <w:sz w:val="24"/>
        </w:rPr>
        <w:t>HYP-CORE-002 (Behavioral Traceability): Every digital action leaves measurable behavioral traces attributable to its source.</w:t>
      </w:r>
    </w:p>
    <w:p>
      <w:pPr>
        <w:pStyle w:val="ListBullet"/>
        <w:ind w:left="720"/>
      </w:pPr>
      <w:r>
        <w:rPr>
          <w:rFonts w:ascii="Times New Roman" w:hAnsi="Times New Roman"/>
          <w:sz w:val="24"/>
        </w:rPr>
        <w:t>HYP-CORE-003 (Cognitive Uniqueness): Behavioral profiles derived from digital traces are sufficiently unique to discriminate among individuals.</w:t>
      </w:r>
    </w:p>
    <w:p>
      <w:pPr>
        <w:pStyle w:val="ListBullet"/>
        <w:ind w:left="720"/>
      </w:pPr>
      <w:r>
        <w:rPr>
          <w:rFonts w:ascii="Times New Roman" w:hAnsi="Times New Roman"/>
          <w:sz w:val="24"/>
        </w:rPr>
        <w:t>HYP-CORE-004 (Involuntary Emission): Involuntary behavioral signals are emitted continuously during digital interaction.</w:t>
      </w:r>
    </w:p>
    <w:p>
      <w:pPr>
        <w:pStyle w:val="Heading2"/>
      </w:pPr>
      <w:r>
        <w:rPr>
          <w:rFonts w:ascii="Times New Roman" w:hAnsi="Times New Roman"/>
          <w:color w:val="000000"/>
        </w:rPr>
        <w:t>6.4 Design Principles</w:t>
      </w:r>
    </w:p>
    <w:p>
      <w:r>
        <w:rPr>
          <w:rFonts w:ascii="Times New Roman" w:hAnsi="Times New Roman"/>
          <w:b w:val="0"/>
          <w:i w:val="0"/>
          <w:sz w:val="24"/>
        </w:rPr>
        <w:t>Eighteen design principles, all at ADOPTED status, guide the framework's implementation across four categories: Attribution (5), Evidence (5), Reasoning (4), and Identity (4) [12]. Key principles include DP-ATR-001 (Multi-Modal Necessity): attribution decisions should integrate multiple independent behavioral modalities; DP-ATR-002 (Probabilistic Output): all attribution outputs must include uncertainty quantification; DP-EVI-001 (Evidential Independence): behavioral evidence from different modalities should be approximately independent.</w:t>
      </w:r>
    </w:p>
    <w:p>
      <w:pPr>
        <w:pStyle w:val="Heading1"/>
      </w:pPr>
      <w:r>
        <w:rPr>
          <w:rFonts w:ascii="Times New Roman" w:hAnsi="Times New Roman"/>
          <w:color w:val="000000"/>
        </w:rPr>
        <w:t>7. Mathematical Framework</w:t>
      </w:r>
    </w:p>
    <w:p>
      <w:r>
        <w:rPr>
          <w:rFonts w:ascii="Times New Roman" w:hAnsi="Times New Roman"/>
          <w:b w:val="0"/>
          <w:i w:val="0"/>
          <w:sz w:val="24"/>
        </w:rPr>
        <w:t>The mathematical framework comprises 292 objects across 24 categories, governed by six foundational principles: Symbol Uniqueness, Consistent Typing, Dimensional Transparency, Domain Boundedness, Compositional Semantics, and Referential Integrity [13].</w:t>
      </w:r>
    </w:p>
    <w:p>
      <w:pPr>
        <w:spacing w:before="240"/>
        <w:jc w:val="center"/>
      </w:pPr>
      <w:r>
        <w:rPr>
          <w:rFonts w:ascii="Times New Roman" w:hAnsi="Times New Roman"/>
          <w:b/>
          <w:i/>
          <w:sz w:val="20"/>
        </w:rPr>
        <w:t>Table 3. Mathematical framework layers with object counts.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Pr>
                <w:rFonts w:ascii="Times New Roman" w:hAnsi="Times New Roman"/>
                <w:b/>
                <w:sz w:val="18"/>
              </w:rPr>
              <w:t>Layer</w:t>
            </w:r>
          </w:p>
        </w:tc>
        <w:tc>
          <w:tcPr>
            <w:tcW w:type="dxa" w:w="3009"/>
            <w:shd w:fill="D9E2F3"/>
          </w:tcPr>
          <w:p>
            <w:pPr>
              <w:jc w:val="center"/>
            </w:pPr>
            <w:r>
              <w:rPr>
                <w:rFonts w:ascii="Times New Roman" w:hAnsi="Times New Roman"/>
                <w:b/>
                <w:sz w:val="18"/>
              </w:rPr>
              <w:t>Categories</w:t>
            </w:r>
          </w:p>
        </w:tc>
        <w:tc>
          <w:tcPr>
            <w:tcW w:type="dxa" w:w="3009"/>
            <w:shd w:fill="D9E2F3"/>
          </w:tcPr>
          <w:p>
            <w:pPr>
              <w:jc w:val="center"/>
            </w:pPr>
            <w:r>
              <w:rPr>
                <w:rFonts w:ascii="Times New Roman" w:hAnsi="Times New Roman"/>
                <w:b/>
                <w:sz w:val="18"/>
              </w:rPr>
              <w:t>Count</w:t>
            </w:r>
          </w:p>
        </w:tc>
      </w:tr>
      <w:tr>
        <w:tc>
          <w:tcPr>
            <w:tcW w:type="dxa" w:w="3009"/>
          </w:tcPr>
          <w:p>
            <w:pPr>
              <w:jc w:val="center"/>
            </w:pPr>
            <w:r>
              <w:rPr>
                <w:rFonts w:ascii="Times New Roman" w:hAnsi="Times New Roman"/>
                <w:sz w:val="18"/>
              </w:rPr>
              <w:t>1 — Foundation Types</w:t>
            </w:r>
          </w:p>
        </w:tc>
        <w:tc>
          <w:tcPr>
            <w:tcW w:type="dxa" w:w="3009"/>
          </w:tcPr>
          <w:p>
            <w:pPr>
              <w:jc w:val="center"/>
            </w:pPr>
            <w:r>
              <w:rPr>
                <w:rFonts w:ascii="Times New Roman" w:hAnsi="Times New Roman"/>
                <w:sz w:val="18"/>
              </w:rPr>
              <w:t>Data types, sets, constants</w:t>
            </w:r>
          </w:p>
        </w:tc>
        <w:tc>
          <w:tcPr>
            <w:tcW w:type="dxa" w:w="3009"/>
          </w:tcPr>
          <w:p>
            <w:pPr>
              <w:jc w:val="center"/>
            </w:pPr>
            <w:r>
              <w:rPr>
                <w:rFonts w:ascii="Times New Roman" w:hAnsi="Times New Roman"/>
                <w:sz w:val="18"/>
              </w:rPr>
              <w:t>39</w:t>
            </w:r>
          </w:p>
        </w:tc>
      </w:tr>
      <w:tr>
        <w:tc>
          <w:tcPr>
            <w:tcW w:type="dxa" w:w="3009"/>
          </w:tcPr>
          <w:p>
            <w:pPr>
              <w:jc w:val="center"/>
            </w:pPr>
            <w:r>
              <w:rPr>
                <w:rFonts w:ascii="Times New Roman" w:hAnsi="Times New Roman"/>
                <w:sz w:val="18"/>
              </w:rPr>
              <w:t>2 — Structured Types</w:t>
            </w:r>
          </w:p>
        </w:tc>
        <w:tc>
          <w:tcPr>
            <w:tcW w:type="dxa" w:w="3009"/>
          </w:tcPr>
          <w:p>
            <w:pPr>
              <w:jc w:val="center"/>
            </w:pPr>
            <w:r>
              <w:rPr>
                <w:rFonts w:ascii="Times New Roman" w:hAnsi="Times New Roman"/>
                <w:sz w:val="18"/>
              </w:rPr>
              <w:t>Vectors, matrices, tensors</w:t>
            </w:r>
          </w:p>
        </w:tc>
        <w:tc>
          <w:tcPr>
            <w:tcW w:type="dxa" w:w="3009"/>
          </w:tcPr>
          <w:p>
            <w:pPr>
              <w:jc w:val="center"/>
            </w:pPr>
            <w:r>
              <w:rPr>
                <w:rFonts w:ascii="Times New Roman" w:hAnsi="Times New Roman"/>
                <w:sz w:val="18"/>
              </w:rPr>
              <w:t>26</w:t>
            </w:r>
          </w:p>
        </w:tc>
      </w:tr>
      <w:tr>
        <w:tc>
          <w:tcPr>
            <w:tcW w:type="dxa" w:w="3009"/>
          </w:tcPr>
          <w:p>
            <w:pPr>
              <w:jc w:val="center"/>
            </w:pPr>
            <w:r>
              <w:rPr>
                <w:rFonts w:ascii="Times New Roman" w:hAnsi="Times New Roman"/>
                <w:sz w:val="18"/>
              </w:rPr>
              <w:t>3 — Transformations</w:t>
            </w:r>
          </w:p>
        </w:tc>
        <w:tc>
          <w:tcPr>
            <w:tcW w:type="dxa" w:w="3009"/>
          </w:tcPr>
          <w:p>
            <w:pPr>
              <w:jc w:val="center"/>
            </w:pPr>
            <w:r>
              <w:rPr>
                <w:rFonts w:ascii="Times New Roman" w:hAnsi="Times New Roman"/>
                <w:sz w:val="18"/>
              </w:rPr>
              <w:t>Functions, normalizations, aggregations</w:t>
            </w:r>
          </w:p>
        </w:tc>
        <w:tc>
          <w:tcPr>
            <w:tcW w:type="dxa" w:w="3009"/>
          </w:tcPr>
          <w:p>
            <w:pPr>
              <w:jc w:val="center"/>
            </w:pPr>
            <w:r>
              <w:rPr>
                <w:rFonts w:ascii="Times New Roman" w:hAnsi="Times New Roman"/>
                <w:sz w:val="18"/>
              </w:rPr>
              <w:t>31</w:t>
            </w:r>
          </w:p>
        </w:tc>
      </w:tr>
      <w:tr>
        <w:tc>
          <w:tcPr>
            <w:tcW w:type="dxa" w:w="3009"/>
          </w:tcPr>
          <w:p>
            <w:pPr>
              <w:jc w:val="center"/>
            </w:pPr>
            <w:r>
              <w:rPr>
                <w:rFonts w:ascii="Times New Roman" w:hAnsi="Times New Roman"/>
                <w:sz w:val="18"/>
              </w:rPr>
              <w:t>4 — Comparison &amp; Evaluation</w:t>
            </w:r>
          </w:p>
        </w:tc>
        <w:tc>
          <w:tcPr>
            <w:tcW w:type="dxa" w:w="3009"/>
          </w:tcPr>
          <w:p>
            <w:pPr>
              <w:jc w:val="center"/>
            </w:pPr>
            <w:r>
              <w:rPr>
                <w:rFonts w:ascii="Times New Roman" w:hAnsi="Times New Roman"/>
                <w:sz w:val="18"/>
              </w:rPr>
              <w:t>Metrics, distances, similarities</w:t>
            </w:r>
          </w:p>
        </w:tc>
        <w:tc>
          <w:tcPr>
            <w:tcW w:type="dxa" w:w="3009"/>
          </w:tcPr>
          <w:p>
            <w:pPr>
              <w:jc w:val="center"/>
            </w:pPr>
            <w:r>
              <w:rPr>
                <w:rFonts w:ascii="Times New Roman" w:hAnsi="Times New Roman"/>
                <w:sz w:val="18"/>
              </w:rPr>
              <w:t>26</w:t>
            </w:r>
          </w:p>
        </w:tc>
      </w:tr>
      <w:tr>
        <w:tc>
          <w:tcPr>
            <w:tcW w:type="dxa" w:w="3009"/>
          </w:tcPr>
          <w:p>
            <w:pPr>
              <w:jc w:val="center"/>
            </w:pPr>
            <w:r>
              <w:rPr>
                <w:rFonts w:ascii="Times New Roman" w:hAnsi="Times New Roman"/>
                <w:sz w:val="18"/>
              </w:rPr>
              <w:t>5 — Uncertainty &amp; Decision</w:t>
            </w:r>
          </w:p>
        </w:tc>
        <w:tc>
          <w:tcPr>
            <w:tcW w:type="dxa" w:w="3009"/>
          </w:tcPr>
          <w:p>
            <w:pPr>
              <w:jc w:val="center"/>
            </w:pPr>
            <w:r>
              <w:rPr>
                <w:rFonts w:ascii="Times New Roman" w:hAnsi="Times New Roman"/>
                <w:sz w:val="18"/>
              </w:rPr>
              <w:t>Probabilities, confidences, scores</w:t>
            </w:r>
          </w:p>
        </w:tc>
        <w:tc>
          <w:tcPr>
            <w:tcW w:type="dxa" w:w="3009"/>
          </w:tcPr>
          <w:p>
            <w:pPr>
              <w:jc w:val="center"/>
            </w:pPr>
            <w:r>
              <w:rPr>
                <w:rFonts w:ascii="Times New Roman" w:hAnsi="Times New Roman"/>
                <w:sz w:val="18"/>
              </w:rPr>
              <w:t>32</w:t>
            </w:r>
          </w:p>
        </w:tc>
      </w:tr>
      <w:tr>
        <w:tc>
          <w:tcPr>
            <w:tcW w:type="dxa" w:w="3009"/>
          </w:tcPr>
          <w:p>
            <w:pPr>
              <w:jc w:val="center"/>
            </w:pPr>
            <w:r>
              <w:rPr>
                <w:rFonts w:ascii="Times New Roman" w:hAnsi="Times New Roman"/>
                <w:sz w:val="18"/>
              </w:rPr>
              <w:t>6 — Constraint &amp; Optimization</w:t>
            </w:r>
          </w:p>
        </w:tc>
        <w:tc>
          <w:tcPr>
            <w:tcW w:type="dxa" w:w="3009"/>
          </w:tcPr>
          <w:p>
            <w:pPr>
              <w:jc w:val="center"/>
            </w:pPr>
            <w:r>
              <w:rPr>
                <w:rFonts w:ascii="Times New Roman" w:hAnsi="Times New Roman"/>
                <w:sz w:val="18"/>
              </w:rPr>
              <w:t>Constraints, objectives</w:t>
            </w:r>
          </w:p>
        </w:tc>
        <w:tc>
          <w:tcPr>
            <w:tcW w:type="dxa" w:w="3009"/>
          </w:tcPr>
          <w:p>
            <w:pPr>
              <w:jc w:val="center"/>
            </w:pPr>
            <w:r>
              <w:rPr>
                <w:rFonts w:ascii="Times New Roman" w:hAnsi="Times New Roman"/>
                <w:sz w:val="18"/>
              </w:rPr>
              <w:t>15</w:t>
            </w:r>
          </w:p>
        </w:tc>
      </w:tr>
    </w:tbl>
    <w:p>
      <w:pPr>
        <w:pStyle w:val="Heading2"/>
      </w:pPr>
      <w:r>
        <w:rPr>
          <w:rFonts w:ascii="Times New Roman" w:hAnsi="Times New Roman"/>
          <w:color w:val="000000"/>
        </w:rPr>
        <w:t>7.1 Behavioral Signal Model</w:t>
      </w:r>
    </w:p>
    <w:p>
      <w:r>
        <w:rPr>
          <w:rFonts w:ascii="Times New Roman" w:hAnsi="Times New Roman"/>
          <w:b w:val="0"/>
          <w:i w:val="0"/>
          <w:sz w:val="24"/>
        </w:rPr>
        <w:t>The observed behavioral signal from a source s at time t on platform p in context c is modeled as:</w:t>
      </w:r>
    </w:p>
    <w:p>
      <w:r>
        <w:rPr>
          <w:rFonts w:ascii="Times New Roman" w:hAnsi="Times New Roman"/>
          <w:b w:val="0"/>
          <w:i/>
          <w:sz w:val="24"/>
        </w:rPr>
        <w:t>y(t, c, p) = y_cog(t) + y_ctx(c) + y_plat(p) + ε(t, c, p)</w:t>
      </w:r>
    </w:p>
    <w:p>
      <w:r>
        <w:rPr>
          <w:rFonts w:ascii="Times New Roman" w:hAnsi="Times New Roman"/>
          <w:b w:val="0"/>
          <w:i w:val="0"/>
          <w:sz w:val="24"/>
        </w:rPr>
        <w:t>where y_cog(t) is the cognitive component (signal of interest), y_ctx(c) captures contextual variation, y_plat(p) represents platform-specific bias, and ε is irreducible noise. This decomposition is a modeling assumption that has not been empirically validated; the independence and additivity of components require experimental verification.</w:t>
      </w:r>
    </w:p>
    <w:p>
      <w:pPr>
        <w:pStyle w:val="Heading2"/>
      </w:pPr>
      <w:r>
        <w:rPr>
          <w:rFonts w:ascii="Times New Roman" w:hAnsi="Times New Roman"/>
          <w:color w:val="000000"/>
        </w:rPr>
        <w:t>7.2 Likelihood Ratio Evidence Framework</w:t>
      </w:r>
    </w:p>
    <w:p>
      <w:r>
        <w:rPr>
          <w:rFonts w:ascii="Times New Roman" w:hAnsi="Times New Roman"/>
          <w:b w:val="0"/>
          <w:i w:val="0"/>
          <w:sz w:val="24"/>
        </w:rPr>
        <w:t>Evidence evaluation follows the likelihood ratio framework established in forensic science [10]:</w:t>
      </w:r>
    </w:p>
    <w:p>
      <w:r>
        <w:rPr>
          <w:rFonts w:ascii="Times New Roman" w:hAnsi="Times New Roman"/>
          <w:b w:val="0"/>
          <w:i/>
          <w:sz w:val="24"/>
        </w:rPr>
        <w:t>LR = P(E | H_same) / P(E | H_diff)</w:t>
      </w:r>
    </w:p>
    <w:p>
      <w:r>
        <w:rPr>
          <w:rFonts w:ascii="Times New Roman" w:hAnsi="Times New Roman"/>
          <w:b w:val="0"/>
          <w:i w:val="0"/>
          <w:sz w:val="24"/>
        </w:rPr>
        <w:t>where E is the observed similarity evidence, H_same is the hypothesis that two artifacts share a source, and H_diff is the alternative.</w:t>
      </w:r>
    </w:p>
    <w:p>
      <w:pPr>
        <w:spacing w:before="240"/>
        <w:jc w:val="center"/>
      </w:pPr>
      <w:r>
        <w:rPr>
          <w:rFonts w:ascii="Times New Roman" w:hAnsi="Times New Roman"/>
          <w:b/>
          <w:i/>
          <w:sz w:val="20"/>
        </w:rPr>
        <w:t>Table 4. Likelihood ratio verbal interpretation scale.</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Pr>
                <w:rFonts w:ascii="Times New Roman" w:hAnsi="Times New Roman"/>
                <w:b/>
                <w:sz w:val="18"/>
              </w:rPr>
              <w:t>LR Range</w:t>
            </w:r>
          </w:p>
        </w:tc>
        <w:tc>
          <w:tcPr>
            <w:tcW w:type="dxa" w:w="4513"/>
            <w:shd w:fill="D9E2F3"/>
          </w:tcPr>
          <w:p>
            <w:pPr>
              <w:jc w:val="center"/>
            </w:pPr>
            <w:r>
              <w:rPr>
                <w:rFonts w:ascii="Times New Roman" w:hAnsi="Times New Roman"/>
                <w:b/>
                <w:sz w:val="18"/>
              </w:rPr>
              <w:t>Verbal Interpretation</w:t>
            </w:r>
          </w:p>
        </w:tc>
      </w:tr>
      <w:tr>
        <w:tc>
          <w:tcPr>
            <w:tcW w:type="dxa" w:w="4513"/>
          </w:tcPr>
          <w:p>
            <w:pPr>
              <w:jc w:val="center"/>
            </w:pPr>
            <w:r>
              <w:rPr>
                <w:rFonts w:ascii="Times New Roman" w:hAnsi="Times New Roman"/>
                <w:sz w:val="18"/>
              </w:rPr>
              <w:t>&gt; 100</w:t>
            </w:r>
          </w:p>
        </w:tc>
        <w:tc>
          <w:tcPr>
            <w:tcW w:type="dxa" w:w="4513"/>
          </w:tcPr>
          <w:p>
            <w:pPr>
              <w:jc w:val="center"/>
            </w:pPr>
            <w:r>
              <w:rPr>
                <w:rFonts w:ascii="Times New Roman" w:hAnsi="Times New Roman"/>
                <w:sz w:val="18"/>
              </w:rPr>
              <w:t>Very strong support for same-source</w:t>
            </w:r>
          </w:p>
        </w:tc>
      </w:tr>
      <w:tr>
        <w:tc>
          <w:tcPr>
            <w:tcW w:type="dxa" w:w="4513"/>
          </w:tcPr>
          <w:p>
            <w:pPr>
              <w:jc w:val="center"/>
            </w:pPr>
            <w:r>
              <w:rPr>
                <w:rFonts w:ascii="Times New Roman" w:hAnsi="Times New Roman"/>
                <w:sz w:val="18"/>
              </w:rPr>
              <w:t>10 – 100</w:t>
            </w:r>
          </w:p>
        </w:tc>
        <w:tc>
          <w:tcPr>
            <w:tcW w:type="dxa" w:w="4513"/>
          </w:tcPr>
          <w:p>
            <w:pPr>
              <w:jc w:val="center"/>
            </w:pPr>
            <w:r>
              <w:rPr>
                <w:rFonts w:ascii="Times New Roman" w:hAnsi="Times New Roman"/>
                <w:sz w:val="18"/>
              </w:rPr>
              <w:t>Strong support for same-source</w:t>
            </w:r>
          </w:p>
        </w:tc>
      </w:tr>
      <w:tr>
        <w:tc>
          <w:tcPr>
            <w:tcW w:type="dxa" w:w="4513"/>
          </w:tcPr>
          <w:p>
            <w:pPr>
              <w:jc w:val="center"/>
            </w:pPr>
            <w:r>
              <w:rPr>
                <w:rFonts w:ascii="Times New Roman" w:hAnsi="Times New Roman"/>
                <w:sz w:val="18"/>
              </w:rPr>
              <w:t>3 – 10</w:t>
            </w:r>
          </w:p>
        </w:tc>
        <w:tc>
          <w:tcPr>
            <w:tcW w:type="dxa" w:w="4513"/>
          </w:tcPr>
          <w:p>
            <w:pPr>
              <w:jc w:val="center"/>
            </w:pPr>
            <w:r>
              <w:rPr>
                <w:rFonts w:ascii="Times New Roman" w:hAnsi="Times New Roman"/>
                <w:sz w:val="18"/>
              </w:rPr>
              <w:t>Moderate support for same-source</w:t>
            </w:r>
          </w:p>
        </w:tc>
      </w:tr>
      <w:tr>
        <w:tc>
          <w:tcPr>
            <w:tcW w:type="dxa" w:w="4513"/>
          </w:tcPr>
          <w:p>
            <w:pPr>
              <w:jc w:val="center"/>
            </w:pPr>
            <w:r>
              <w:rPr>
                <w:rFonts w:ascii="Times New Roman" w:hAnsi="Times New Roman"/>
                <w:sz w:val="18"/>
              </w:rPr>
              <w:t>1 – 3</w:t>
            </w:r>
          </w:p>
        </w:tc>
        <w:tc>
          <w:tcPr>
            <w:tcW w:type="dxa" w:w="4513"/>
          </w:tcPr>
          <w:p>
            <w:pPr>
              <w:jc w:val="center"/>
            </w:pPr>
            <w:r>
              <w:rPr>
                <w:rFonts w:ascii="Times New Roman" w:hAnsi="Times New Roman"/>
                <w:sz w:val="18"/>
              </w:rPr>
              <w:t>Limited support for same-source</w:t>
            </w:r>
          </w:p>
        </w:tc>
      </w:tr>
      <w:tr>
        <w:tc>
          <w:tcPr>
            <w:tcW w:type="dxa" w:w="4513"/>
          </w:tcPr>
          <w:p>
            <w:pPr>
              <w:jc w:val="center"/>
            </w:pPr>
            <w:r>
              <w:rPr>
                <w:rFonts w:ascii="Times New Roman" w:hAnsi="Times New Roman"/>
                <w:sz w:val="18"/>
              </w:rPr>
              <w:t>1</w:t>
            </w:r>
          </w:p>
        </w:tc>
        <w:tc>
          <w:tcPr>
            <w:tcW w:type="dxa" w:w="4513"/>
          </w:tcPr>
          <w:p>
            <w:pPr>
              <w:jc w:val="center"/>
            </w:pPr>
            <w:r>
              <w:rPr>
                <w:rFonts w:ascii="Times New Roman" w:hAnsi="Times New Roman"/>
                <w:sz w:val="18"/>
              </w:rPr>
              <w:t>No support</w:t>
            </w:r>
          </w:p>
        </w:tc>
      </w:tr>
      <w:tr>
        <w:tc>
          <w:tcPr>
            <w:tcW w:type="dxa" w:w="4513"/>
          </w:tcPr>
          <w:p>
            <w:pPr>
              <w:jc w:val="center"/>
            </w:pPr>
            <w:r>
              <w:rPr>
                <w:rFonts w:ascii="Times New Roman" w:hAnsi="Times New Roman"/>
                <w:sz w:val="18"/>
              </w:rPr>
              <w:t>0.33 – 1</w:t>
            </w:r>
          </w:p>
        </w:tc>
        <w:tc>
          <w:tcPr>
            <w:tcW w:type="dxa" w:w="4513"/>
          </w:tcPr>
          <w:p>
            <w:pPr>
              <w:jc w:val="center"/>
            </w:pPr>
            <w:r>
              <w:rPr>
                <w:rFonts w:ascii="Times New Roman" w:hAnsi="Times New Roman"/>
                <w:sz w:val="18"/>
              </w:rPr>
              <w:t>Limited support for different-source</w:t>
            </w:r>
          </w:p>
        </w:tc>
      </w:tr>
      <w:tr>
        <w:tc>
          <w:tcPr>
            <w:tcW w:type="dxa" w:w="4513"/>
          </w:tcPr>
          <w:p>
            <w:pPr>
              <w:jc w:val="center"/>
            </w:pPr>
            <w:r>
              <w:rPr>
                <w:rFonts w:ascii="Times New Roman" w:hAnsi="Times New Roman"/>
                <w:sz w:val="18"/>
              </w:rPr>
              <w:t>0.1 – 0.33</w:t>
            </w:r>
          </w:p>
        </w:tc>
        <w:tc>
          <w:tcPr>
            <w:tcW w:type="dxa" w:w="4513"/>
          </w:tcPr>
          <w:p>
            <w:pPr>
              <w:jc w:val="center"/>
            </w:pPr>
            <w:r>
              <w:rPr>
                <w:rFonts w:ascii="Times New Roman" w:hAnsi="Times New Roman"/>
                <w:sz w:val="18"/>
              </w:rPr>
              <w:t>Moderate support for different-source</w:t>
            </w:r>
          </w:p>
        </w:tc>
      </w:tr>
      <w:tr>
        <w:tc>
          <w:tcPr>
            <w:tcW w:type="dxa" w:w="4513"/>
          </w:tcPr>
          <w:p>
            <w:pPr>
              <w:jc w:val="center"/>
            </w:pPr>
            <w:r>
              <w:rPr>
                <w:rFonts w:ascii="Times New Roman" w:hAnsi="Times New Roman"/>
                <w:sz w:val="18"/>
              </w:rPr>
              <w:t>0.01 – 0.1</w:t>
            </w:r>
          </w:p>
        </w:tc>
        <w:tc>
          <w:tcPr>
            <w:tcW w:type="dxa" w:w="4513"/>
          </w:tcPr>
          <w:p>
            <w:pPr>
              <w:jc w:val="center"/>
            </w:pPr>
            <w:r>
              <w:rPr>
                <w:rFonts w:ascii="Times New Roman" w:hAnsi="Times New Roman"/>
                <w:sz w:val="18"/>
              </w:rPr>
              <w:t>Strong support for different-source</w:t>
            </w:r>
          </w:p>
        </w:tc>
      </w:tr>
      <w:tr>
        <w:tc>
          <w:tcPr>
            <w:tcW w:type="dxa" w:w="4513"/>
          </w:tcPr>
          <w:p>
            <w:pPr>
              <w:jc w:val="center"/>
            </w:pPr>
            <w:r>
              <w:rPr>
                <w:rFonts w:ascii="Times New Roman" w:hAnsi="Times New Roman"/>
                <w:sz w:val="18"/>
              </w:rPr>
              <w:t>&lt; 0.01</w:t>
            </w:r>
          </w:p>
        </w:tc>
        <w:tc>
          <w:tcPr>
            <w:tcW w:type="dxa" w:w="4513"/>
          </w:tcPr>
          <w:p>
            <w:pPr>
              <w:jc w:val="center"/>
            </w:pPr>
            <w:r>
              <w:rPr>
                <w:rFonts w:ascii="Times New Roman" w:hAnsi="Times New Roman"/>
                <w:sz w:val="18"/>
              </w:rPr>
              <w:t>Very strong support for different-source</w:t>
            </w:r>
          </w:p>
        </w:tc>
      </w:tr>
    </w:tbl>
    <w:p>
      <w:pPr>
        <w:pStyle w:val="Heading2"/>
      </w:pPr>
      <w:r>
        <w:rPr>
          <w:rFonts w:ascii="Times New Roman" w:hAnsi="Times New Roman"/>
          <w:color w:val="000000"/>
        </w:rPr>
        <w:t>7.3 Mathematical Spaces and Distance Functions</w:t>
      </w:r>
    </w:p>
    <w:p>
      <w:r>
        <w:rPr>
          <w:rFonts w:ascii="Times New Roman" w:hAnsi="Times New Roman"/>
          <w:b w:val="0"/>
          <w:i w:val="0"/>
          <w:sz w:val="24"/>
        </w:rPr>
        <w:t>Ten formal mathematical spaces are defined: Observation Space (Σ), Behavioral Space (Ψ), Evidence Space (Ξ), Reasoning Space (R), Decision Space (Δ), Attribution Space (A), Confidence Space (Γ), Score Space (S), Outcome Space (Ω), and Feature Space (Φ). Each space has formally specified dimensions, metric structure, and allowable operations [13].</w:t>
      </w:r>
    </w:p>
    <w:p>
      <w:r>
        <w:rPr>
          <w:rFonts w:ascii="Times New Roman" w:hAnsi="Times New Roman"/>
          <w:b w:val="0"/>
          <w:i w:val="0"/>
          <w:sz w:val="24"/>
        </w:rPr>
        <w:t>The framework specifies nine distance functions (Euclidean DST-001, Manhattan DST-002, cosine DST-005, Mahalanobis DST-008, Earth Mover's DST-009) and seven similarity functions (cosine SIM-001 [−1,1], Jaccard SIM-003 [0,1], Pearson correlation SIM-004 [−1,1], RBF SIM-006 (0,1]) with formal specifications [14].</w:t>
      </w:r>
    </w:p>
    <w:p>
      <w:pPr>
        <w:pStyle w:val="Heading1"/>
      </w:pPr>
      <w:r>
        <w:rPr>
          <w:rFonts w:ascii="Times New Roman" w:hAnsi="Times New Roman"/>
          <w:color w:val="000000"/>
        </w:rPr>
        <w:t>8. System Architecture</w:t>
      </w:r>
    </w:p>
    <w:p>
      <w:pPr>
        <w:pStyle w:val="Heading2"/>
      </w:pPr>
      <w:r>
        <w:rPr>
          <w:rFonts w:ascii="Times New Roman" w:hAnsi="Times New Roman"/>
          <w:color w:val="000000"/>
        </w:rPr>
        <w:t>8.1 Six-Layer Architecture</w:t>
      </w:r>
    </w:p>
    <w:p>
      <w:r>
        <w:rPr>
          <w:rFonts w:ascii="Times New Roman" w:hAnsi="Times New Roman"/>
          <w:b w:val="0"/>
          <w:i w:val="0"/>
          <w:sz w:val="24"/>
        </w:rPr>
        <w:t>The framework is organized as a six-layer architecture, each layer encapsulating distinct responsibilities [15].</w:t>
      </w:r>
    </w:p>
    <w:p>
      <w:pPr>
        <w:spacing w:before="240"/>
        <w:jc w:val="center"/>
      </w:pPr>
      <w:r>
        <w:rPr>
          <w:rFonts w:ascii="Times New Roman" w:hAnsi="Times New Roman"/>
          <w:b/>
          <w:i/>
          <w:sz w:val="20"/>
        </w:rPr>
        <w:t>Table 5. Six-layer architecture.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Pr>
                <w:rFonts w:ascii="Times New Roman" w:hAnsi="Times New Roman"/>
                <w:b/>
                <w:sz w:val="18"/>
              </w:rPr>
              <w:t>Layer</w:t>
            </w:r>
          </w:p>
        </w:tc>
        <w:tc>
          <w:tcPr>
            <w:tcW w:type="dxa" w:w="3009"/>
            <w:shd w:fill="D9E2F3"/>
          </w:tcPr>
          <w:p>
            <w:pPr>
              <w:jc w:val="center"/>
            </w:pPr>
            <w:r>
              <w:rPr>
                <w:rFonts w:ascii="Times New Roman" w:hAnsi="Times New Roman"/>
                <w:b/>
                <w:sz w:val="18"/>
              </w:rPr>
              <w:t>Responsibility</w:t>
            </w:r>
          </w:p>
        </w:tc>
        <w:tc>
          <w:tcPr>
            <w:tcW w:type="dxa" w:w="3009"/>
            <w:shd w:fill="D9E2F3"/>
          </w:tcPr>
          <w:p>
            <w:pPr>
              <w:jc w:val="center"/>
            </w:pPr>
            <w:r>
              <w:rPr>
                <w:rFonts w:ascii="Times New Roman" w:hAnsi="Times New Roman"/>
                <w:b/>
                <w:sz w:val="18"/>
              </w:rPr>
              <w:t>Key Functions</w:t>
            </w:r>
          </w:p>
        </w:tc>
      </w:tr>
      <w:tr>
        <w:tc>
          <w:tcPr>
            <w:tcW w:type="dxa" w:w="3009"/>
          </w:tcPr>
          <w:p>
            <w:pPr>
              <w:jc w:val="center"/>
            </w:pPr>
            <w:r>
              <w:rPr>
                <w:rFonts w:ascii="Times New Roman" w:hAnsi="Times New Roman"/>
                <w:sz w:val="18"/>
              </w:rPr>
              <w:t>1 — Data Layer</w:t>
            </w:r>
          </w:p>
        </w:tc>
        <w:tc>
          <w:tcPr>
            <w:tcW w:type="dxa" w:w="3009"/>
          </w:tcPr>
          <w:p>
            <w:pPr>
              <w:jc w:val="center"/>
            </w:pPr>
            <w:r>
              <w:rPr>
                <w:rFonts w:ascii="Times New Roman" w:hAnsi="Times New Roman"/>
                <w:sz w:val="18"/>
              </w:rPr>
              <w:t>Raw data ingestion, validation</w:t>
            </w:r>
          </w:p>
        </w:tc>
        <w:tc>
          <w:tcPr>
            <w:tcW w:type="dxa" w:w="3009"/>
          </w:tcPr>
          <w:p>
            <w:pPr>
              <w:jc w:val="center"/>
            </w:pPr>
            <w:r>
              <w:rPr>
                <w:rFonts w:ascii="Times New Roman" w:hAnsi="Times New Roman"/>
                <w:sz w:val="18"/>
              </w:rPr>
              <w:t>Platform adapters, metadata extraction, chain-of-custody</w:t>
            </w:r>
          </w:p>
        </w:tc>
      </w:tr>
      <w:tr>
        <w:tc>
          <w:tcPr>
            <w:tcW w:type="dxa" w:w="3009"/>
          </w:tcPr>
          <w:p>
            <w:pPr>
              <w:jc w:val="center"/>
            </w:pPr>
            <w:r>
              <w:rPr>
                <w:rFonts w:ascii="Times New Roman" w:hAnsi="Times New Roman"/>
                <w:sz w:val="18"/>
              </w:rPr>
              <w:t>2 — Feature Layer</w:t>
            </w:r>
          </w:p>
        </w:tc>
        <w:tc>
          <w:tcPr>
            <w:tcW w:type="dxa" w:w="3009"/>
          </w:tcPr>
          <w:p>
            <w:pPr>
              <w:jc w:val="center"/>
            </w:pPr>
            <w:r>
              <w:rPr>
                <w:rFonts w:ascii="Times New Roman" w:hAnsi="Times New Roman"/>
                <w:sz w:val="18"/>
              </w:rPr>
              <w:t>Modality-specific extraction</w:t>
            </w:r>
          </w:p>
        </w:tc>
        <w:tc>
          <w:tcPr>
            <w:tcW w:type="dxa" w:w="3009"/>
          </w:tcPr>
          <w:p>
            <w:pPr>
              <w:jc w:val="center"/>
            </w:pPr>
            <w:r>
              <w:rPr>
                <w:rFonts w:ascii="Times New Roman" w:hAnsi="Times New Roman"/>
                <w:sz w:val="18"/>
              </w:rPr>
              <w:t>NLP processing, temporal analysis, graph construction</w:t>
            </w:r>
          </w:p>
        </w:tc>
      </w:tr>
      <w:tr>
        <w:tc>
          <w:tcPr>
            <w:tcW w:type="dxa" w:w="3009"/>
          </w:tcPr>
          <w:p>
            <w:pPr>
              <w:jc w:val="center"/>
            </w:pPr>
            <w:r>
              <w:rPr>
                <w:rFonts w:ascii="Times New Roman" w:hAnsi="Times New Roman"/>
                <w:sz w:val="18"/>
              </w:rPr>
              <w:t>3 — Profile Layer</w:t>
            </w:r>
          </w:p>
        </w:tc>
        <w:tc>
          <w:tcPr>
            <w:tcW w:type="dxa" w:w="3009"/>
          </w:tcPr>
          <w:p>
            <w:pPr>
              <w:jc w:val="center"/>
            </w:pPr>
            <w:r>
              <w:rPr>
                <w:rFonts w:ascii="Times New Roman" w:hAnsi="Times New Roman"/>
                <w:sz w:val="18"/>
              </w:rPr>
              <w:t>Profile construction, storage</w:t>
            </w:r>
          </w:p>
        </w:tc>
        <w:tc>
          <w:tcPr>
            <w:tcW w:type="dxa" w:w="3009"/>
          </w:tcPr>
          <w:p>
            <w:pPr>
              <w:jc w:val="center"/>
            </w:pPr>
            <w:r>
              <w:rPr>
                <w:rFonts w:ascii="Times New Roman" w:hAnsi="Times New Roman"/>
                <w:sz w:val="18"/>
              </w:rPr>
              <w:t>Fingerprint generation, ensemble embedding, versioning</w:t>
            </w:r>
          </w:p>
        </w:tc>
      </w:tr>
      <w:tr>
        <w:tc>
          <w:tcPr>
            <w:tcW w:type="dxa" w:w="3009"/>
          </w:tcPr>
          <w:p>
            <w:pPr>
              <w:jc w:val="center"/>
            </w:pPr>
            <w:r>
              <w:rPr>
                <w:rFonts w:ascii="Times New Roman" w:hAnsi="Times New Roman"/>
                <w:sz w:val="18"/>
              </w:rPr>
              <w:t>4 — Comparison Layer</w:t>
            </w:r>
          </w:p>
        </w:tc>
        <w:tc>
          <w:tcPr>
            <w:tcW w:type="dxa" w:w="3009"/>
          </w:tcPr>
          <w:p>
            <w:pPr>
              <w:jc w:val="center"/>
            </w:pPr>
            <w:r>
              <w:rPr>
                <w:rFonts w:ascii="Times New Roman" w:hAnsi="Times New Roman"/>
                <w:sz w:val="18"/>
              </w:rPr>
              <w:t>Similarity computation</w:t>
            </w:r>
          </w:p>
        </w:tc>
        <w:tc>
          <w:tcPr>
            <w:tcW w:type="dxa" w:w="3009"/>
          </w:tcPr>
          <w:p>
            <w:pPr>
              <w:jc w:val="center"/>
            </w:pPr>
            <w:r>
              <w:rPr>
                <w:rFonts w:ascii="Times New Roman" w:hAnsi="Times New Roman"/>
                <w:sz w:val="18"/>
              </w:rPr>
              <w:t>Distance metrics, FAISS indexing, score normalization</w:t>
            </w:r>
          </w:p>
        </w:tc>
      </w:tr>
      <w:tr>
        <w:tc>
          <w:tcPr>
            <w:tcW w:type="dxa" w:w="3009"/>
          </w:tcPr>
          <w:p>
            <w:pPr>
              <w:jc w:val="center"/>
            </w:pPr>
            <w:r>
              <w:rPr>
                <w:rFonts w:ascii="Times New Roman" w:hAnsi="Times New Roman"/>
                <w:sz w:val="18"/>
              </w:rPr>
              <w:t>5 — Evidence Layer</w:t>
            </w:r>
          </w:p>
        </w:tc>
        <w:tc>
          <w:tcPr>
            <w:tcW w:type="dxa" w:w="3009"/>
          </w:tcPr>
          <w:p>
            <w:pPr>
              <w:jc w:val="center"/>
            </w:pPr>
            <w:r>
              <w:rPr>
                <w:rFonts w:ascii="Times New Roman" w:hAnsi="Times New Roman"/>
                <w:sz w:val="18"/>
              </w:rPr>
              <w:t>Score calibration, fusion</w:t>
            </w:r>
          </w:p>
        </w:tc>
        <w:tc>
          <w:tcPr>
            <w:tcW w:type="dxa" w:w="3009"/>
          </w:tcPr>
          <w:p>
            <w:pPr>
              <w:jc w:val="center"/>
            </w:pPr>
            <w:r>
              <w:rPr>
                <w:rFonts w:ascii="Times New Roman" w:hAnsi="Times New Roman"/>
                <w:sz w:val="18"/>
              </w:rPr>
              <w:t>LR computation, Dempster-Shafer fusion, confidence estimation</w:t>
            </w:r>
          </w:p>
        </w:tc>
      </w:tr>
      <w:tr>
        <w:tc>
          <w:tcPr>
            <w:tcW w:type="dxa" w:w="3009"/>
          </w:tcPr>
          <w:p>
            <w:pPr>
              <w:jc w:val="center"/>
            </w:pPr>
            <w:r>
              <w:rPr>
                <w:rFonts w:ascii="Times New Roman" w:hAnsi="Times New Roman"/>
                <w:sz w:val="18"/>
              </w:rPr>
              <w:t>6 — Decision Layer</w:t>
            </w:r>
          </w:p>
        </w:tc>
        <w:tc>
          <w:tcPr>
            <w:tcW w:type="dxa" w:w="3009"/>
          </w:tcPr>
          <w:p>
            <w:pPr>
              <w:jc w:val="center"/>
            </w:pPr>
            <w:r>
              <w:rPr>
                <w:rFonts w:ascii="Times New Roman" w:hAnsi="Times New Roman"/>
                <w:sz w:val="18"/>
              </w:rPr>
              <w:t>Identity decision, reporting</w:t>
            </w:r>
          </w:p>
        </w:tc>
        <w:tc>
          <w:tcPr>
            <w:tcW w:type="dxa" w:w="3009"/>
          </w:tcPr>
          <w:p>
            <w:pPr>
              <w:jc w:val="center"/>
            </w:pPr>
            <w:r>
              <w:rPr>
                <w:rFonts w:ascii="Times New Roman" w:hAnsi="Times New Roman"/>
                <w:sz w:val="18"/>
              </w:rPr>
              <w:t>Threshold comparison, ACM scoring, inconclusive handling</w:t>
            </w:r>
          </w:p>
        </w:tc>
      </w:tr>
    </w:tbl>
    <w:p>
      <w:pPr>
        <w:pStyle w:val="Heading2"/>
      </w:pPr>
      <w:r>
        <w:rPr>
          <w:rFonts w:ascii="Times New Roman" w:hAnsi="Times New Roman"/>
          <w:color w:val="000000"/>
        </w:rPr>
        <w:t>8.2 Pipeline and Workflows</w:t>
      </w:r>
    </w:p>
    <w:p>
      <w:r>
        <w:rPr>
          <w:rFonts w:ascii="Times New Roman" w:hAnsi="Times New Roman"/>
          <w:b w:val="0"/>
          <w:i w:val="0"/>
          <w:sz w:val="24"/>
        </w:rPr>
        <w:t>The architecture operates as a sequential six-stage pipeline: (1) Ingestion, (2) Feature Extraction, (3) Profile Construction, (4) Comparison, (5) Evidence Evaluation, (6) Decision. The framework supports three workflows: Identification (1:N matching), Verification (1:1 matching), and Forensic Comparison (1:1 with evidence grading).</w:t>
      </w:r>
    </w:p>
    <w:p>
      <w:pPr>
        <w:pStyle w:val="Heading2"/>
      </w:pPr>
      <w:r>
        <w:rPr>
          <w:rFonts w:ascii="Times New Roman" w:hAnsi="Times New Roman"/>
          <w:color w:val="000000"/>
        </w:rPr>
        <w:t>8.3 Behavioral Modalities</w:t>
      </w:r>
    </w:p>
    <w:p>
      <w:pPr>
        <w:spacing w:before="240"/>
        <w:jc w:val="center"/>
      </w:pPr>
      <w:r>
        <w:rPr>
          <w:rFonts w:ascii="Times New Roman" w:hAnsi="Times New Roman"/>
          <w:b/>
          <w:i/>
          <w:sz w:val="20"/>
        </w:rPr>
        <w:t>Table 6. Five behavioral modalities with algorithms and validation status.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Pr>
                <w:rFonts w:ascii="Times New Roman" w:hAnsi="Times New Roman"/>
                <w:b/>
                <w:sz w:val="18"/>
              </w:rPr>
              <w:t>Modality</w:t>
            </w:r>
          </w:p>
        </w:tc>
        <w:tc>
          <w:tcPr>
            <w:tcW w:type="dxa" w:w="2256"/>
            <w:shd w:fill="D9E2F3"/>
          </w:tcPr>
          <w:p>
            <w:pPr>
              <w:jc w:val="center"/>
            </w:pPr>
            <w:r>
              <w:rPr>
                <w:rFonts w:ascii="Times New Roman" w:hAnsi="Times New Roman"/>
                <w:b/>
                <w:sz w:val="18"/>
              </w:rPr>
              <w:t>Behavioral Signal</w:t>
            </w:r>
          </w:p>
        </w:tc>
        <w:tc>
          <w:tcPr>
            <w:tcW w:type="dxa" w:w="2256"/>
            <w:shd w:fill="D9E2F3"/>
          </w:tcPr>
          <w:p>
            <w:pPr>
              <w:jc w:val="center"/>
            </w:pPr>
            <w:r>
              <w:rPr>
                <w:rFonts w:ascii="Times New Roman" w:hAnsi="Times New Roman"/>
                <w:b/>
                <w:sz w:val="18"/>
              </w:rPr>
              <w:t>Algorithms</w:t>
            </w:r>
          </w:p>
        </w:tc>
        <w:tc>
          <w:tcPr>
            <w:tcW w:type="dxa" w:w="2256"/>
            <w:shd w:fill="D9E2F3"/>
          </w:tcPr>
          <w:p>
            <w:pPr>
              <w:jc w:val="center"/>
            </w:pPr>
            <w:r>
              <w:rPr>
                <w:rFonts w:ascii="Times New Roman" w:hAnsi="Times New Roman"/>
                <w:b/>
                <w:sz w:val="18"/>
              </w:rPr>
              <w:t>Validation Status</w:t>
            </w:r>
          </w:p>
        </w:tc>
      </w:tr>
      <w:tr>
        <w:tc>
          <w:tcPr>
            <w:tcW w:type="dxa" w:w="2256"/>
          </w:tcPr>
          <w:p>
            <w:pPr>
              <w:jc w:val="center"/>
            </w:pPr>
            <w:r>
              <w:rPr>
                <w:rFonts w:ascii="Times New Roman" w:hAnsi="Times New Roman"/>
                <w:sz w:val="18"/>
              </w:rPr>
              <w:t>Stylometric</w:t>
            </w:r>
          </w:p>
        </w:tc>
        <w:tc>
          <w:tcPr>
            <w:tcW w:type="dxa" w:w="2256"/>
          </w:tcPr>
          <w:p>
            <w:pPr>
              <w:jc w:val="center"/>
            </w:pPr>
            <w:r>
              <w:rPr>
                <w:rFonts w:ascii="Times New Roman" w:hAnsi="Times New Roman"/>
                <w:sz w:val="18"/>
              </w:rPr>
              <w:t>Vocabulary, syntax, discourse</w:t>
            </w:r>
          </w:p>
        </w:tc>
        <w:tc>
          <w:tcPr>
            <w:tcW w:type="dxa" w:w="2256"/>
          </w:tcPr>
          <w:p>
            <w:pPr>
              <w:jc w:val="center"/>
            </w:pPr>
            <w:r>
              <w:rPr>
                <w:rFonts w:ascii="Times New Roman" w:hAnsi="Times New Roman"/>
                <w:sz w:val="18"/>
              </w:rPr>
              <w:t>ALG-001–004</w:t>
            </w:r>
          </w:p>
        </w:tc>
        <w:tc>
          <w:tcPr>
            <w:tcW w:type="dxa" w:w="2256"/>
          </w:tcPr>
          <w:p>
            <w:pPr>
              <w:jc w:val="center"/>
            </w:pPr>
            <w:r>
              <w:rPr>
                <w:rFonts w:ascii="Times New Roman" w:hAnsi="Times New Roman"/>
                <w:sz w:val="18"/>
              </w:rPr>
              <w:t>Validated (prototype)</w:t>
            </w:r>
          </w:p>
        </w:tc>
      </w:tr>
      <w:tr>
        <w:tc>
          <w:tcPr>
            <w:tcW w:type="dxa" w:w="2256"/>
          </w:tcPr>
          <w:p>
            <w:pPr>
              <w:jc w:val="center"/>
            </w:pPr>
            <w:r>
              <w:rPr>
                <w:rFonts w:ascii="Times New Roman" w:hAnsi="Times New Roman"/>
                <w:sz w:val="18"/>
              </w:rPr>
              <w:t>Chrono-Profiling</w:t>
            </w:r>
          </w:p>
        </w:tc>
        <w:tc>
          <w:tcPr>
            <w:tcW w:type="dxa" w:w="2256"/>
          </w:tcPr>
          <w:p>
            <w:pPr>
              <w:jc w:val="center"/>
            </w:pPr>
            <w:r>
              <w:rPr>
                <w:rFonts w:ascii="Times New Roman" w:hAnsi="Times New Roman"/>
                <w:sz w:val="18"/>
              </w:rPr>
              <w:t>Circadian rhythms, timing</w:t>
            </w:r>
          </w:p>
        </w:tc>
        <w:tc>
          <w:tcPr>
            <w:tcW w:type="dxa" w:w="2256"/>
          </w:tcPr>
          <w:p>
            <w:pPr>
              <w:jc w:val="center"/>
            </w:pPr>
            <w:r>
              <w:rPr>
                <w:rFonts w:ascii="Times New Roman" w:hAnsi="Times New Roman"/>
                <w:sz w:val="18"/>
              </w:rPr>
              <w:t>ALG-005–008</w:t>
            </w:r>
          </w:p>
        </w:tc>
        <w:tc>
          <w:tcPr>
            <w:tcW w:type="dxa" w:w="2256"/>
          </w:tcPr>
          <w:p>
            <w:pPr>
              <w:jc w:val="center"/>
            </w:pPr>
            <w:r>
              <w:rPr>
                <w:rFonts w:ascii="Times New Roman" w:hAnsi="Times New Roman"/>
                <w:sz w:val="18"/>
              </w:rPr>
              <w:t>Requires data</w:t>
            </w:r>
          </w:p>
        </w:tc>
      </w:tr>
      <w:tr>
        <w:tc>
          <w:tcPr>
            <w:tcW w:type="dxa" w:w="2256"/>
          </w:tcPr>
          <w:p>
            <w:pPr>
              <w:jc w:val="center"/>
            </w:pPr>
            <w:r>
              <w:rPr>
                <w:rFonts w:ascii="Times New Roman" w:hAnsi="Times New Roman"/>
                <w:sz w:val="18"/>
              </w:rPr>
              <w:t>Terminal Profiling</w:t>
            </w:r>
          </w:p>
        </w:tc>
        <w:tc>
          <w:tcPr>
            <w:tcW w:type="dxa" w:w="2256"/>
          </w:tcPr>
          <w:p>
            <w:pPr>
              <w:jc w:val="center"/>
            </w:pPr>
            <w:r>
              <w:rPr>
                <w:rFonts w:ascii="Times New Roman" w:hAnsi="Times New Roman"/>
                <w:sz w:val="18"/>
              </w:rPr>
              <w:t>Commands, navigation</w:t>
            </w:r>
          </w:p>
        </w:tc>
        <w:tc>
          <w:tcPr>
            <w:tcW w:type="dxa" w:w="2256"/>
          </w:tcPr>
          <w:p>
            <w:pPr>
              <w:jc w:val="center"/>
            </w:pPr>
            <w:r>
              <w:rPr>
                <w:rFonts w:ascii="Times New Roman" w:hAnsi="Times New Roman"/>
                <w:sz w:val="18"/>
              </w:rPr>
              <w:t>ALG-009–012</w:t>
            </w:r>
          </w:p>
        </w:tc>
        <w:tc>
          <w:tcPr>
            <w:tcW w:type="dxa" w:w="2256"/>
          </w:tcPr>
          <w:p>
            <w:pPr>
              <w:jc w:val="center"/>
            </w:pPr>
            <w:r>
              <w:rPr>
                <w:rFonts w:ascii="Times New Roman" w:hAnsi="Times New Roman"/>
                <w:sz w:val="18"/>
              </w:rPr>
              <w:t>Requires data</w:t>
            </w:r>
          </w:p>
        </w:tc>
      </w:tr>
      <w:tr>
        <w:tc>
          <w:tcPr>
            <w:tcW w:type="dxa" w:w="2256"/>
          </w:tcPr>
          <w:p>
            <w:pPr>
              <w:jc w:val="center"/>
            </w:pPr>
            <w:r>
              <w:rPr>
                <w:rFonts w:ascii="Times New Roman" w:hAnsi="Times New Roman"/>
                <w:sz w:val="18"/>
              </w:rPr>
              <w:t>Network Analysis</w:t>
            </w:r>
          </w:p>
        </w:tc>
        <w:tc>
          <w:tcPr>
            <w:tcW w:type="dxa" w:w="2256"/>
          </w:tcPr>
          <w:p>
            <w:pPr>
              <w:jc w:val="center"/>
            </w:pPr>
            <w:r>
              <w:rPr>
                <w:rFonts w:ascii="Times New Roman" w:hAnsi="Times New Roman"/>
                <w:sz w:val="18"/>
              </w:rPr>
              <w:t>Graph structure, communities</w:t>
            </w:r>
          </w:p>
        </w:tc>
        <w:tc>
          <w:tcPr>
            <w:tcW w:type="dxa" w:w="2256"/>
          </w:tcPr>
          <w:p>
            <w:pPr>
              <w:jc w:val="center"/>
            </w:pPr>
            <w:r>
              <w:rPr>
                <w:rFonts w:ascii="Times New Roman" w:hAnsi="Times New Roman"/>
                <w:sz w:val="18"/>
              </w:rPr>
              <w:t>ALG-013–016</w:t>
            </w:r>
          </w:p>
        </w:tc>
        <w:tc>
          <w:tcPr>
            <w:tcW w:type="dxa" w:w="2256"/>
          </w:tcPr>
          <w:p>
            <w:pPr>
              <w:jc w:val="center"/>
            </w:pPr>
            <w:r>
              <w:rPr>
                <w:rFonts w:ascii="Times New Roman" w:hAnsi="Times New Roman"/>
                <w:sz w:val="18"/>
              </w:rPr>
              <w:t>Requires data</w:t>
            </w:r>
          </w:p>
        </w:tc>
      </w:tr>
      <w:tr>
        <w:tc>
          <w:tcPr>
            <w:tcW w:type="dxa" w:w="2256"/>
          </w:tcPr>
          <w:p>
            <w:pPr>
              <w:jc w:val="center"/>
            </w:pPr>
            <w:r>
              <w:rPr>
                <w:rFonts w:ascii="Times New Roman" w:hAnsi="Times New Roman"/>
                <w:sz w:val="18"/>
              </w:rPr>
              <w:t>Media Forensics</w:t>
            </w:r>
          </w:p>
        </w:tc>
        <w:tc>
          <w:tcPr>
            <w:tcW w:type="dxa" w:w="2256"/>
          </w:tcPr>
          <w:p>
            <w:pPr>
              <w:jc w:val="center"/>
            </w:pPr>
            <w:r>
              <w:rPr>
                <w:rFonts w:ascii="Times New Roman" w:hAnsi="Times New Roman"/>
                <w:sz w:val="18"/>
              </w:rPr>
              <w:t>File structure, naming</w:t>
            </w:r>
          </w:p>
        </w:tc>
        <w:tc>
          <w:tcPr>
            <w:tcW w:type="dxa" w:w="2256"/>
          </w:tcPr>
          <w:p>
            <w:pPr>
              <w:jc w:val="center"/>
            </w:pPr>
            <w:r>
              <w:rPr>
                <w:rFonts w:ascii="Times New Roman" w:hAnsi="Times New Roman"/>
                <w:sz w:val="18"/>
              </w:rPr>
              <w:t>ALG-017–020</w:t>
            </w:r>
          </w:p>
        </w:tc>
        <w:tc>
          <w:tcPr>
            <w:tcW w:type="dxa" w:w="2256"/>
          </w:tcPr>
          <w:p>
            <w:pPr>
              <w:jc w:val="center"/>
            </w:pPr>
            <w:r>
              <w:rPr>
                <w:rFonts w:ascii="Times New Roman" w:hAnsi="Times New Roman"/>
                <w:sz w:val="18"/>
              </w:rPr>
              <w:t>Requires data</w:t>
            </w:r>
          </w:p>
        </w:tc>
      </w:tr>
    </w:tbl>
    <w:p>
      <w:r>
        <w:rPr>
          <w:rFonts w:ascii="Times New Roman" w:hAnsi="Times New Roman"/>
          <w:b w:val="0"/>
          <w:i w:val="0"/>
          <w:sz w:val="24"/>
        </w:rPr>
        <w:t>Only the stylometric modality has received prototype validation. The remaining four modalities are specified but untested.</w:t>
      </w:r>
    </w:p>
    <w:p>
      <w:pPr>
        <w:pStyle w:val="Heading1"/>
      </w:pPr>
      <w:r>
        <w:rPr>
          <w:rFonts w:ascii="Times New Roman" w:hAnsi="Times New Roman"/>
          <w:color w:val="000000"/>
        </w:rPr>
        <w:t>9. Prototype Implementation</w:t>
      </w:r>
    </w:p>
    <w:p>
      <w:pPr>
        <w:pStyle w:val="Heading2"/>
      </w:pPr>
      <w:r>
        <w:rPr>
          <w:rFonts w:ascii="Times New Roman" w:hAnsi="Times New Roman"/>
          <w:color w:val="000000"/>
        </w:rPr>
        <w:t>9.1 Anubis Twitter v2.5</w:t>
      </w:r>
    </w:p>
    <w:p>
      <w:r>
        <w:rPr>
          <w:rFonts w:ascii="Times New Roman" w:hAnsi="Times New Roman"/>
          <w:b w:val="0"/>
          <w:i w:val="0"/>
          <w:sz w:val="24"/>
        </w:rPr>
        <w:t>Anubis Twitter v2.5 is a prototype implementation of the framework's stylometric modality for Arabic Twitter data. The prototype consists of 47 Python source files organized into five packages (Core, Search, Verification, Database, Utilities), totaling approximately 2,800 lines of code [17]. It implements Layers 1 through 4 of the framework architecture: data ingestion, feature extraction, fingerprint generation, and similarity search.</w:t>
      </w:r>
    </w:p>
    <w:p>
      <w:pPr>
        <w:pStyle w:val="Heading2"/>
      </w:pPr>
      <w:r>
        <w:rPr>
          <w:rFonts w:ascii="Times New Roman" w:hAnsi="Times New Roman"/>
          <w:color w:val="000000"/>
        </w:rPr>
        <w:t>9.2 Architecture</w:t>
      </w:r>
    </w:p>
    <w:p>
      <w:pPr>
        <w:pStyle w:val="ListBullet"/>
        <w:ind w:left="720"/>
      </w:pPr>
      <w:r>
        <w:rPr>
          <w:rFonts w:ascii="Times New Roman" w:hAnsi="Times New Roman"/>
          <w:sz w:val="24"/>
        </w:rPr>
        <w:t>Core package (StylometryEngine): Implements 372-dimensional feature extraction covering lexical, syntactic, structural, and content features. Uses a single transformer model (paraphrase-multilingual-MiniLM-L12-v2) for semantic embedding [26]. The planned three-model ensemble (MarBERT, AraBERT, MPNet) is degraded due to HuggingFace authentication failures.</w:t>
      </w:r>
    </w:p>
    <w:p>
      <w:pPr>
        <w:pStyle w:val="ListBullet"/>
        <w:ind w:left="720"/>
      </w:pPr>
      <w:r>
        <w:rPr>
          <w:rFonts w:ascii="Times New Roman" w:hAnsi="Times New Roman"/>
          <w:sz w:val="24"/>
        </w:rPr>
        <w:t>Search package: Implements FAISS IndexFlatIP index management and cosine similarity search [42].</w:t>
      </w:r>
    </w:p>
    <w:p>
      <w:pPr>
        <w:pStyle w:val="ListBullet"/>
        <w:ind w:left="720"/>
      </w:pPr>
      <w:r>
        <w:rPr>
          <w:rFonts w:ascii="Times New Roman" w:hAnsi="Times New Roman"/>
          <w:sz w:val="24"/>
        </w:rPr>
        <w:t>Verification package (EgyptianVerifier): Implements Egyptian linguistic verification using keyword dictionaries (~200 terms), slang patterns (~50 expressions), and location names (~80 entries).</w:t>
      </w:r>
    </w:p>
    <w:p>
      <w:pPr>
        <w:pStyle w:val="ListBullet"/>
        <w:ind w:left="720"/>
      </w:pPr>
      <w:r>
        <w:rPr>
          <w:rFonts w:ascii="Times New Roman" w:hAnsi="Times New Roman"/>
          <w:sz w:val="24"/>
        </w:rPr>
        <w:t>Database package: SQLite-based fingerprint storage.</w:t>
      </w:r>
    </w:p>
    <w:p>
      <w:pPr>
        <w:pStyle w:val="ListBullet"/>
        <w:ind w:left="720"/>
      </w:pPr>
      <w:r>
        <w:rPr>
          <w:rFonts w:ascii="Times New Roman" w:hAnsi="Times New Roman"/>
          <w:sz w:val="24"/>
        </w:rPr>
        <w:t>Utilities package: Arabic text preprocessing including URL removal, Unicode normalization (NFC), diacritic removal, and character normalization.</w:t>
      </w:r>
    </w:p>
    <w:p>
      <w:pPr>
        <w:pStyle w:val="Heading2"/>
      </w:pPr>
      <w:r>
        <w:rPr>
          <w:rFonts w:ascii="Times New Roman" w:hAnsi="Times New Roman"/>
          <w:color w:val="000000"/>
        </w:rPr>
        <w:t>9.3 Dataset</w:t>
      </w:r>
    </w:p>
    <w:p>
      <w:r>
        <w:rPr>
          <w:rFonts w:ascii="Times New Roman" w:hAnsi="Times New Roman"/>
          <w:b w:val="0"/>
          <w:i w:val="0"/>
          <w:sz w:val="24"/>
        </w:rPr>
        <w:t>The dataset comprises 31 Egyptian Twitter accounts with publicly available data stored as JSON files. The accounts represent: news/media outlets (5), political/public accounts (8), cultural/arts accounts (4), personal/individual accounts (14). Tweet counts per account range from 1 to 193, with a median of approximately 10 tweets per account [17][18].</w:t>
      </w:r>
    </w:p>
    <w:p>
      <w:pPr>
        <w:pStyle w:val="Heading2"/>
      </w:pPr>
      <w:r>
        <w:rPr>
          <w:rFonts w:ascii="Times New Roman" w:hAnsi="Times New Roman"/>
          <w:color w:val="000000"/>
        </w:rPr>
        <w:t>9.4 Fingerprint Construction</w:t>
      </w:r>
    </w:p>
    <w:p>
      <w:r>
        <w:rPr>
          <w:rFonts w:ascii="Times New Roman" w:hAnsi="Times New Roman"/>
          <w:b w:val="0"/>
          <w:i w:val="0"/>
          <w:sz w:val="24"/>
        </w:rPr>
        <w:t>Stylometric fingerprints are 372-dimensional vectors constructed from three feature groups [17]:</w:t>
      </w:r>
    </w:p>
    <w:p>
      <w:pPr>
        <w:pStyle w:val="ListBullet"/>
        <w:ind w:left="720"/>
      </w:pPr>
      <w:r>
        <w:rPr>
          <w:rFonts w:ascii="Times New Roman" w:hAnsi="Times New Roman"/>
          <w:sz w:val="24"/>
        </w:rPr>
        <w:t>A 256-dimensional projected embedding from paraphrase-multilingual-MiniLM-L12-v2 (the ensemble with MarBERT and AraBERT is degraded due to authentication failures).</w:t>
      </w:r>
    </w:p>
    <w:p>
      <w:pPr>
        <w:pStyle w:val="ListBullet"/>
        <w:ind w:left="720"/>
      </w:pPr>
      <w:r>
        <w:rPr>
          <w:rFonts w:ascii="Times New Roman" w:hAnsi="Times New Roman"/>
          <w:sz w:val="24"/>
        </w:rPr>
        <w:t>Sixteen lexical features: type-token ratio, average word length, hapax legomena ratio, sentence length mean and standard deviation, punctuation ratio, emoji ratio, character 3-gram frequencies (top 100), and common word frequencies (top 6).</w:t>
      </w:r>
    </w:p>
    <w:p>
      <w:pPr>
        <w:pStyle w:val="ListBullet"/>
        <w:ind w:left="720"/>
      </w:pPr>
      <w:r>
        <w:rPr>
          <w:rFonts w:ascii="Times New Roman" w:hAnsi="Times New Roman"/>
          <w:sz w:val="24"/>
        </w:rPr>
        <w:t>One hundred character n-gram features using hash-based vectorization.</w:t>
      </w:r>
    </w:p>
    <w:p>
      <w:r>
        <w:rPr>
          <w:rFonts w:ascii="Times New Roman" w:hAnsi="Times New Roman"/>
          <w:b/>
          <w:i w:val="0"/>
          <w:sz w:val="24"/>
        </w:rPr>
        <w:t>Total feature vector: 256 (embedding) + 16 (lexical) + 100 (character n-gram) = 372 dimensions.</w:t>
      </w:r>
    </w:p>
    <w:p>
      <w:r>
        <w:rPr>
          <w:rFonts w:ascii="Times New Roman" w:hAnsi="Times New Roman"/>
          <w:b w:val="0"/>
          <w:i w:val="0"/>
          <w:sz w:val="24"/>
        </w:rPr>
        <w:t>Important caveat: The Python hash() function used for character n-gram feature computation is non-deterministic across Python interpreter invocations (due to hash randomization), which affects fingerprint reproducibility. This is a known implementation limitation [17].</w:t>
      </w:r>
    </w:p>
    <w:p>
      <w:pPr>
        <w:pStyle w:val="Heading2"/>
      </w:pPr>
      <w:r>
        <w:rPr>
          <w:rFonts w:ascii="Times New Roman" w:hAnsi="Times New Roman"/>
          <w:color w:val="000000"/>
        </w:rPr>
        <w:t>9.5 Similarity Search</w:t>
      </w:r>
    </w:p>
    <w:p>
      <w:r>
        <w:rPr>
          <w:rFonts w:ascii="Times New Roman" w:hAnsi="Times New Roman"/>
          <w:b w:val="0"/>
          <w:i w:val="0"/>
          <w:sz w:val="24"/>
        </w:rPr>
        <w:t>Fingerprints are indexed using FAISS with IndexFlatIP (inner product) [42]. With L2 normalization, inner product is equivalent to cosine similarity. The index contains 31 vectors at 372 dimensions with a file size of approximately 46 KB. IndexFlatIP performs exact (brute-force) search, meaning all 31 vectors are compared against the query, yielding 100% recall. FAISS was designed for billion-scale similarity search [43]; its application to 31 vectors constitutes a minimal-use case that validates pipeline integration rather than scalability.</w:t>
      </w:r>
    </w:p>
    <w:p>
      <w:pPr>
        <w:pStyle w:val="Heading2"/>
      </w:pPr>
      <w:r>
        <w:rPr>
          <w:rFonts w:ascii="Times New Roman" w:hAnsi="Times New Roman"/>
          <w:color w:val="000000"/>
        </w:rPr>
        <w:t>9.6 Confidence Scoring</w:t>
      </w:r>
    </w:p>
    <w:p>
      <w:r>
        <w:rPr>
          <w:rFonts w:ascii="Times New Roman" w:hAnsi="Times New Roman"/>
          <w:b w:val="0"/>
          <w:i w:val="0"/>
          <w:sz w:val="24"/>
        </w:rPr>
        <w:t>The prototype computes a confidence score based on tweet volume (70% weight) and inter-post variance proxy (30% weight):</w:t>
      </w:r>
    </w:p>
    <w:p>
      <w:r>
        <w:rPr>
          <w:rFonts w:ascii="Times New Roman" w:hAnsi="Times New Roman"/>
          <w:b w:val="0"/>
          <w:i/>
          <w:sz w:val="24"/>
        </w:rPr>
        <w:t>confidence = min(1.0, n/50) × 0.7 + 1/log(σ²_interpost + 1) × 0.3</w:t>
      </w:r>
    </w:p>
    <w:p>
      <w:r>
        <w:rPr>
          <w:rFonts w:ascii="Times New Roman" w:hAnsi="Times New Roman"/>
          <w:b w:val="0"/>
          <w:i w:val="0"/>
          <w:sz w:val="24"/>
        </w:rPr>
        <w:t>This scoring function is heuristic and has not been calibrated against ground truth data [17].</w:t>
      </w:r>
    </w:p>
    <w:p>
      <w:pPr>
        <w:spacing w:before="240"/>
        <w:jc w:val="center"/>
      </w:pPr>
      <w:r>
        <w:rPr>
          <w:rFonts w:ascii="Times New Roman" w:hAnsi="Times New Roman"/>
          <w:i/>
          <w:color w:val="646464"/>
          <w:sz w:val="20"/>
        </w:rPr>
        <w:t>[PLACEHOLDER: Fig. 2 — AnubisX Framework Architecture]</w:t>
      </w:r>
    </w:p>
    <w:p>
      <w:pPr>
        <w:spacing w:after="240"/>
        <w:jc w:val="center"/>
      </w:pPr>
      <w:r>
        <w:rPr>
          <w:rFonts w:ascii="Times New Roman" w:hAnsi="Times New Roman"/>
          <w:i/>
          <w:sz w:val="20"/>
        </w:rPr>
        <w:t>Figure: AnubisX Framework six-layer architecture showing Data, Feature, Profile, Comparison, Evidence, and Decision layers with data flow between each layer.</w:t>
      </w:r>
    </w:p>
    <w:p>
      <w:pPr>
        <w:spacing w:before="240"/>
        <w:jc w:val="center"/>
      </w:pPr>
      <w:r>
        <w:rPr>
          <w:rFonts w:ascii="Times New Roman" w:hAnsi="Times New Roman"/>
          <w:i/>
          <w:color w:val="646464"/>
          <w:sz w:val="20"/>
        </w:rPr>
        <w:t>[PLACEHOLDER: Fig. 3 — Stylometric Fingerprint Extraction Pipeline]</w:t>
      </w:r>
    </w:p>
    <w:p>
      <w:pPr>
        <w:spacing w:after="240"/>
        <w:jc w:val="center"/>
      </w:pPr>
      <w:r>
        <w:rPr>
          <w:rFonts w:ascii="Times New Roman" w:hAnsi="Times New Roman"/>
          <w:i/>
          <w:sz w:val="20"/>
        </w:rPr>
        <w:t>Figure: Feature extraction pipeline: raw Twitter JSON → Arabic text preprocessing → embedding generation → lexical feature extraction → n-gram hashing → 372-dimensional concatenated fingerprint vector.</w:t>
      </w:r>
    </w:p>
    <w:p>
      <w:pPr>
        <w:pStyle w:val="Heading1"/>
      </w:pPr>
      <w:r>
        <w:rPr>
          <w:rFonts w:ascii="Times New Roman" w:hAnsi="Times New Roman"/>
          <w:color w:val="000000"/>
        </w:rPr>
        <w:t>10. Experimental Methodology</w:t>
      </w:r>
    </w:p>
    <w:p>
      <w:pPr>
        <w:pStyle w:val="Heading2"/>
      </w:pPr>
      <w:r>
        <w:rPr>
          <w:rFonts w:ascii="Times New Roman" w:hAnsi="Times New Roman"/>
          <w:color w:val="000000"/>
        </w:rPr>
        <w:t>10.1 Prototype Experiment Design</w:t>
      </w:r>
    </w:p>
    <w:p>
      <w:r>
        <w:rPr>
          <w:rFonts w:ascii="Times New Roman" w:hAnsi="Times New Roman"/>
          <w:b w:val="0"/>
          <w:i w:val="0"/>
          <w:sz w:val="24"/>
        </w:rPr>
        <w:t>Fifteen experiments were executed on the Anubis Twitter v2.5 prototype. These experiments are classified as informal proof-of-concept experiments: they do not satisfy the formal acceptance criteria for Tier 3 (System) validation and do not correspond to the formal 38-experiment catalog [16]. Rather, they validate the practical feasibility of the stylometric fingerprinting pipeline for Arabic Twitter data [18].</w:t>
      </w:r>
    </w:p>
    <w:p>
      <w:r>
        <w:rPr>
          <w:rFonts w:ascii="Times New Roman" w:hAnsi="Times New Roman"/>
          <w:b w:val="0"/>
          <w:i w:val="0"/>
          <w:sz w:val="24"/>
        </w:rPr>
        <w:t>Experiments were organized into four categories:</w:t>
      </w:r>
    </w:p>
    <w:p>
      <w:pPr>
        <w:pStyle w:val="ListBullet"/>
        <w:ind w:left="720"/>
      </w:pPr>
      <w:r>
        <w:rPr>
          <w:rFonts w:ascii="Times New Roman" w:hAnsi="Times New Roman"/>
          <w:sz w:val="24"/>
        </w:rPr>
        <w:t>Fingerprint extraction experiments (4): Dimensional consistency, feature stability, normalization correctness, pipeline completeness.</w:t>
      </w:r>
    </w:p>
    <w:p>
      <w:pPr>
        <w:pStyle w:val="ListBullet"/>
        <w:ind w:left="720"/>
      </w:pPr>
      <w:r>
        <w:rPr>
          <w:rFonts w:ascii="Times New Roman" w:hAnsi="Times New Roman"/>
          <w:sz w:val="24"/>
        </w:rPr>
        <w:t>Similarity search experiments (3): FAISS index build, search accuracy, latency.</w:t>
      </w:r>
    </w:p>
    <w:p>
      <w:pPr>
        <w:pStyle w:val="ListBullet"/>
        <w:ind w:left="720"/>
      </w:pPr>
      <w:r>
        <w:rPr>
          <w:rFonts w:ascii="Times New Roman" w:hAnsi="Times New Roman"/>
          <w:sz w:val="24"/>
        </w:rPr>
        <w:t>Cross-user analysis experiments (5): Pairwise similarity distributions, outlier detection, identity separation.</w:t>
      </w:r>
    </w:p>
    <w:p>
      <w:pPr>
        <w:pStyle w:val="ListBullet"/>
        <w:ind w:left="720"/>
      </w:pPr>
      <w:r>
        <w:rPr>
          <w:rFonts w:ascii="Times New Roman" w:hAnsi="Times New Roman"/>
          <w:sz w:val="24"/>
        </w:rPr>
        <w:t>Demographic analysis experiments (3): Egyptian content verification, location identification, dialectal analysis.</w:t>
      </w:r>
    </w:p>
    <w:p>
      <w:pPr>
        <w:pStyle w:val="Heading2"/>
      </w:pPr>
      <w:r>
        <w:rPr>
          <w:rFonts w:ascii="Times New Roman" w:hAnsi="Times New Roman"/>
          <w:color w:val="000000"/>
        </w:rPr>
        <w:t>10.2 Formal Experiment Catalog</w:t>
      </w:r>
    </w:p>
    <w:p>
      <w:r>
        <w:rPr>
          <w:rFonts w:ascii="Times New Roman" w:hAnsi="Times New Roman"/>
          <w:b w:val="0"/>
          <w:i w:val="0"/>
          <w:sz w:val="24"/>
        </w:rPr>
        <w:t>The framework defines 38 formal experiments across six domains: Twitter (8 experiments, EXP-TW-001–008), Facebook (7, EXP-FB-001–007), Cross-Platform (5, EXP-CP-001–005), Benchmark (5, EXP-BN-001–005), Stress Tests (6, EXP-ST-001–006), and Ablation Studies (7, EXP-AB-001–007). All 38 experiments are at DEFINED status — formally specified with protocols and acceptance criteria, but not executed [16].</w:t>
      </w:r>
    </w:p>
    <w:p>
      <w:pPr>
        <w:pStyle w:val="Heading2"/>
      </w:pPr>
      <w:r>
        <w:rPr>
          <w:rFonts w:ascii="Times New Roman" w:hAnsi="Times New Roman"/>
          <w:color w:val="000000"/>
        </w:rPr>
        <w:t>10.3 Evaluation Framework</w:t>
      </w:r>
    </w:p>
    <w:p>
      <w:r>
        <w:rPr>
          <w:rFonts w:ascii="Times New Roman" w:hAnsi="Times New Roman"/>
          <w:b w:val="0"/>
          <w:i w:val="0"/>
          <w:sz w:val="24"/>
        </w:rPr>
        <w:t>Prototype experiments were evaluated against binary pass/fail criteria defined prior to execution. Each experiment specified a target metric, an acceptance threshold, and a measurement protocol. Results were recorded with exact numerical values from automated experiment scripts (JSON output) and qualitative verdicts [18].</w:t>
      </w:r>
    </w:p>
    <w:p>
      <w:pPr>
        <w:pStyle w:val="Heading1"/>
      </w:pPr>
      <w:r>
        <w:rPr>
          <w:rFonts w:ascii="Times New Roman" w:hAnsi="Times New Roman"/>
          <w:color w:val="000000"/>
        </w:rPr>
        <w:t>11. Experimental Results</w:t>
      </w:r>
    </w:p>
    <w:p>
      <w:r>
        <w:rPr>
          <w:rFonts w:ascii="Times New Roman" w:hAnsi="Times New Roman"/>
          <w:b w:val="0"/>
          <w:i w:val="0"/>
          <w:sz w:val="24"/>
        </w:rPr>
        <w:t>Results are reported using raw experimental data from automated experiment scripts (EXP-001 through EXP-015 JSON files). Where discrepancies exist between markdown reports and raw JSON data, the JSON output from automated scripts is taken as ground truth.</w:t>
      </w:r>
    </w:p>
    <w:p>
      <w:pPr>
        <w:pStyle w:val="Heading2"/>
      </w:pPr>
      <w:r>
        <w:rPr>
          <w:rFonts w:ascii="Times New Roman" w:hAnsi="Times New Roman"/>
          <w:color w:val="000000"/>
        </w:rPr>
        <w:t>11.1 Fingerprint Dimensional Consistency (EXP-001)</w:t>
      </w:r>
    </w:p>
    <w:p>
      <w:r>
        <w:rPr>
          <w:rFonts w:ascii="Times New Roman" w:hAnsi="Times New Roman"/>
          <w:b w:val="0"/>
          <w:i w:val="0"/>
          <w:sz w:val="24"/>
        </w:rPr>
        <w:t>All 31 accounts produced 372-dimensional feature vectors with no dimensional failures. Vector norms ranged from 2.997 to 4.265 (mean 3.470). Total execution time (model loading + encoding) was 51.9 seconds. These results confirm that the feature extraction methodology produces consistent-dimensional output across the test corpus.</w:t>
      </w:r>
    </w:p>
    <w:p>
      <w:pPr>
        <w:pStyle w:val="Heading2"/>
      </w:pPr>
      <w:r>
        <w:rPr>
          <w:rFonts w:ascii="Times New Roman" w:hAnsi="Times New Roman"/>
          <w:color w:val="000000"/>
        </w:rPr>
        <w:t>11.2 Cross-User Similarity (EXP-002)</w:t>
      </w:r>
    </w:p>
    <w:p>
      <w:r>
        <w:rPr>
          <w:rFonts w:ascii="Times New Roman" w:hAnsi="Times New Roman"/>
          <w:b w:val="0"/>
          <w:i w:val="0"/>
          <w:sz w:val="24"/>
        </w:rPr>
        <w:t>Analysis of 465 unique cross-user identity pairs (C(31,2)) using raw cosine similarity measurements (pre-L2-normalization) yielded the following distribution from automated experiment output:</w:t>
      </w:r>
    </w:p>
    <w:p>
      <w:pPr>
        <w:spacing w:before="240"/>
        <w:jc w:val="center"/>
      </w:pPr>
      <w:r>
        <w:rPr>
          <w:rFonts w:ascii="Times New Roman" w:hAnsi="Times New Roman"/>
          <w:b/>
          <w:i/>
          <w:sz w:val="20"/>
        </w:rPr>
        <w:t>Table 7. Cross-user cosine similarity distribution (N = 465 pairs).</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Pr>
                <w:rFonts w:ascii="Times New Roman" w:hAnsi="Times New Roman"/>
                <w:b/>
                <w:sz w:val="18"/>
              </w:rPr>
              <w:t>Metric</w:t>
            </w:r>
          </w:p>
        </w:tc>
        <w:tc>
          <w:tcPr>
            <w:tcW w:type="dxa" w:w="4513"/>
            <w:shd w:fill="D9E2F3"/>
          </w:tcPr>
          <w:p>
            <w:pPr>
              <w:jc w:val="center"/>
            </w:pPr>
            <w:r>
              <w:rPr>
                <w:rFonts w:ascii="Times New Roman" w:hAnsi="Times New Roman"/>
                <w:b/>
                <w:sz w:val="18"/>
              </w:rPr>
              <w:t>Value</w:t>
            </w:r>
          </w:p>
        </w:tc>
      </w:tr>
      <w:tr>
        <w:tc>
          <w:tcPr>
            <w:tcW w:type="dxa" w:w="4513"/>
          </w:tcPr>
          <w:p>
            <w:pPr>
              <w:jc w:val="center"/>
            </w:pPr>
            <w:r>
              <w:rPr>
                <w:rFonts w:ascii="Times New Roman" w:hAnsi="Times New Roman"/>
                <w:sz w:val="18"/>
              </w:rPr>
              <w:t>Mean</w:t>
            </w:r>
          </w:p>
        </w:tc>
        <w:tc>
          <w:tcPr>
            <w:tcW w:type="dxa" w:w="4513"/>
          </w:tcPr>
          <w:p>
            <w:pPr>
              <w:jc w:val="center"/>
            </w:pPr>
            <w:r>
              <w:rPr>
                <w:rFonts w:ascii="Times New Roman" w:hAnsi="Times New Roman"/>
                <w:sz w:val="18"/>
              </w:rPr>
              <w:t>0.697</w:t>
            </w:r>
          </w:p>
        </w:tc>
      </w:tr>
      <w:tr>
        <w:tc>
          <w:tcPr>
            <w:tcW w:type="dxa" w:w="4513"/>
          </w:tcPr>
          <w:p>
            <w:pPr>
              <w:jc w:val="center"/>
            </w:pPr>
            <w:r>
              <w:rPr>
                <w:rFonts w:ascii="Times New Roman" w:hAnsi="Times New Roman"/>
                <w:sz w:val="18"/>
              </w:rPr>
              <w:t>Standard deviation</w:t>
            </w:r>
          </w:p>
        </w:tc>
        <w:tc>
          <w:tcPr>
            <w:tcW w:type="dxa" w:w="4513"/>
          </w:tcPr>
          <w:p>
            <w:pPr>
              <w:jc w:val="center"/>
            </w:pPr>
            <w:r>
              <w:rPr>
                <w:rFonts w:ascii="Times New Roman" w:hAnsi="Times New Roman"/>
                <w:sz w:val="18"/>
              </w:rPr>
              <w:t>0.105</w:t>
            </w:r>
          </w:p>
        </w:tc>
      </w:tr>
      <w:tr>
        <w:tc>
          <w:tcPr>
            <w:tcW w:type="dxa" w:w="4513"/>
          </w:tcPr>
          <w:p>
            <w:pPr>
              <w:jc w:val="center"/>
            </w:pPr>
            <w:r>
              <w:rPr>
                <w:rFonts w:ascii="Times New Roman" w:hAnsi="Times New Roman"/>
                <w:sz w:val="18"/>
              </w:rPr>
              <w:t>Minimum</w:t>
            </w:r>
          </w:p>
        </w:tc>
        <w:tc>
          <w:tcPr>
            <w:tcW w:type="dxa" w:w="4513"/>
          </w:tcPr>
          <w:p>
            <w:pPr>
              <w:jc w:val="center"/>
            </w:pPr>
            <w:r>
              <w:rPr>
                <w:rFonts w:ascii="Times New Roman" w:hAnsi="Times New Roman"/>
                <w:sz w:val="18"/>
              </w:rPr>
              <w:t>0.377</w:t>
            </w:r>
          </w:p>
        </w:tc>
      </w:tr>
      <w:tr>
        <w:tc>
          <w:tcPr>
            <w:tcW w:type="dxa" w:w="4513"/>
          </w:tcPr>
          <w:p>
            <w:pPr>
              <w:jc w:val="center"/>
            </w:pPr>
            <w:r>
              <w:rPr>
                <w:rFonts w:ascii="Times New Roman" w:hAnsi="Times New Roman"/>
                <w:sz w:val="18"/>
              </w:rPr>
              <w:t>Maximum</w:t>
            </w:r>
          </w:p>
        </w:tc>
        <w:tc>
          <w:tcPr>
            <w:tcW w:type="dxa" w:w="4513"/>
          </w:tcPr>
          <w:p>
            <w:pPr>
              <w:jc w:val="center"/>
            </w:pPr>
            <w:r>
              <w:rPr>
                <w:rFonts w:ascii="Times New Roman" w:hAnsi="Times New Roman"/>
                <w:sz w:val="18"/>
              </w:rPr>
              <w:t>0.974</w:t>
            </w:r>
          </w:p>
        </w:tc>
      </w:tr>
      <w:tr>
        <w:tc>
          <w:tcPr>
            <w:tcW w:type="dxa" w:w="4513"/>
          </w:tcPr>
          <w:p>
            <w:pPr>
              <w:jc w:val="center"/>
            </w:pPr>
            <w:r>
              <w:rPr>
                <w:rFonts w:ascii="Times New Roman" w:hAnsi="Times New Roman"/>
                <w:sz w:val="18"/>
              </w:rPr>
              <w:t>Pairs exceeding 0.5</w:t>
            </w:r>
          </w:p>
        </w:tc>
        <w:tc>
          <w:tcPr>
            <w:tcW w:type="dxa" w:w="4513"/>
          </w:tcPr>
          <w:p>
            <w:pPr>
              <w:jc w:val="center"/>
            </w:pPr>
            <w:r>
              <w:rPr>
                <w:rFonts w:ascii="Times New Roman" w:hAnsi="Times New Roman"/>
                <w:sz w:val="18"/>
              </w:rPr>
              <w:t>456 (98.1%)</w:t>
            </w:r>
          </w:p>
        </w:tc>
      </w:tr>
      <w:tr>
        <w:tc>
          <w:tcPr>
            <w:tcW w:type="dxa" w:w="4513"/>
          </w:tcPr>
          <w:p>
            <w:pPr>
              <w:jc w:val="center"/>
            </w:pPr>
            <w:r>
              <w:rPr>
                <w:rFonts w:ascii="Times New Roman" w:hAnsi="Times New Roman"/>
                <w:sz w:val="18"/>
              </w:rPr>
              <w:t>Pairs exceeding 0.7</w:t>
            </w:r>
          </w:p>
        </w:tc>
        <w:tc>
          <w:tcPr>
            <w:tcW w:type="dxa" w:w="4513"/>
          </w:tcPr>
          <w:p>
            <w:pPr>
              <w:jc w:val="center"/>
            </w:pPr>
            <w:r>
              <w:rPr>
                <w:rFonts w:ascii="Times New Roman" w:hAnsi="Times New Roman"/>
                <w:sz w:val="18"/>
              </w:rPr>
              <w:t>231 (49.7%)</w:t>
            </w:r>
          </w:p>
        </w:tc>
      </w:tr>
      <w:tr>
        <w:tc>
          <w:tcPr>
            <w:tcW w:type="dxa" w:w="4513"/>
          </w:tcPr>
          <w:p>
            <w:pPr>
              <w:jc w:val="center"/>
            </w:pPr>
            <w:r>
              <w:rPr>
                <w:rFonts w:ascii="Times New Roman" w:hAnsi="Times New Roman"/>
                <w:sz w:val="18"/>
              </w:rPr>
              <w:t>Pairs exceeding 0.9</w:t>
            </w:r>
          </w:p>
        </w:tc>
        <w:tc>
          <w:tcPr>
            <w:tcW w:type="dxa" w:w="4513"/>
          </w:tcPr>
          <w:p>
            <w:pPr>
              <w:jc w:val="center"/>
            </w:pPr>
            <w:r>
              <w:rPr>
                <w:rFonts w:ascii="Times New Roman" w:hAnsi="Times New Roman"/>
                <w:sz w:val="18"/>
              </w:rPr>
              <w:t>5 (1.1%)</w:t>
            </w:r>
          </w:p>
        </w:tc>
      </w:tr>
    </w:tbl>
    <w:p>
      <w:r>
        <w:rPr>
          <w:rFonts w:ascii="Times New Roman" w:hAnsi="Times New Roman"/>
          <w:b w:val="0"/>
          <w:i w:val="0"/>
          <w:sz w:val="24"/>
        </w:rPr>
        <w:t>The high mean similarity (0.697) is substantially above preliminary expectations of 0.26 reported in earlier summary documents. This elevated baseline likely reflects the dominance of the embedding component (256 of 372 dimensions) in the similarity computation, encoding semantic content rather than purely stylistic features. Without same-user baseline measurements, the discriminative power of these similarity values cannot be fully assessed. This finding underscores the critical importance of ground truth data for calibration.</w:t>
      </w:r>
    </w:p>
    <w:p>
      <w:pPr>
        <w:spacing w:before="240"/>
        <w:jc w:val="center"/>
      </w:pPr>
      <w:r>
        <w:rPr>
          <w:rFonts w:ascii="Times New Roman" w:hAnsi="Times New Roman"/>
          <w:i/>
          <w:color w:val="646464"/>
          <w:sz w:val="20"/>
        </w:rPr>
        <w:t>[PLACEHOLDER: Fig. 4 — Cross-User Cosine Similarity Distribution]</w:t>
      </w:r>
    </w:p>
    <w:p>
      <w:pPr>
        <w:spacing w:after="240"/>
        <w:jc w:val="center"/>
      </w:pPr>
      <w:r>
        <w:rPr>
          <w:rFonts w:ascii="Times New Roman" w:hAnsi="Times New Roman"/>
          <w:i/>
          <w:sz w:val="20"/>
        </w:rPr>
        <w:t>Figure: Histogram of 465 cross-user cosine similarity values showing the distribution with mean 0.697, standard deviation 0.105, and range [0.377, 0.974].</w:t>
      </w:r>
    </w:p>
    <w:p>
      <w:pPr>
        <w:pStyle w:val="Heading2"/>
      </w:pPr>
      <w:r>
        <w:rPr>
          <w:rFonts w:ascii="Times New Roman" w:hAnsi="Times New Roman"/>
          <w:color w:val="000000"/>
        </w:rPr>
        <w:t>11.3 FAISS Search Performance (EXP-006)</w:t>
      </w:r>
    </w:p>
    <w:p>
      <w:pPr>
        <w:spacing w:before="240"/>
        <w:jc w:val="center"/>
      </w:pPr>
      <w:r>
        <w:rPr>
          <w:rFonts w:ascii="Times New Roman" w:hAnsi="Times New Roman"/>
          <w:b/>
          <w:i/>
          <w:sz w:val="20"/>
        </w:rPr>
        <w:t>Table 8. FAISS index performance metrics.</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Pr>
                <w:rFonts w:ascii="Times New Roman" w:hAnsi="Times New Roman"/>
                <w:b/>
                <w:sz w:val="18"/>
              </w:rPr>
              <w:t>Metric</w:t>
            </w:r>
          </w:p>
        </w:tc>
        <w:tc>
          <w:tcPr>
            <w:tcW w:type="dxa" w:w="4513"/>
            <w:shd w:fill="D9E2F3"/>
          </w:tcPr>
          <w:p>
            <w:pPr>
              <w:jc w:val="center"/>
            </w:pPr>
            <w:r>
              <w:rPr>
                <w:rFonts w:ascii="Times New Roman" w:hAnsi="Times New Roman"/>
                <w:b/>
                <w:sz w:val="18"/>
              </w:rPr>
              <w:t>Value</w:t>
            </w:r>
          </w:p>
        </w:tc>
      </w:tr>
      <w:tr>
        <w:tc>
          <w:tcPr>
            <w:tcW w:type="dxa" w:w="4513"/>
          </w:tcPr>
          <w:p>
            <w:pPr>
              <w:jc w:val="center"/>
            </w:pPr>
            <w:r>
              <w:rPr>
                <w:rFonts w:ascii="Times New Roman" w:hAnsi="Times New Roman"/>
                <w:sz w:val="18"/>
              </w:rPr>
              <w:t>Index type</w:t>
            </w:r>
          </w:p>
        </w:tc>
        <w:tc>
          <w:tcPr>
            <w:tcW w:type="dxa" w:w="4513"/>
          </w:tcPr>
          <w:p>
            <w:pPr>
              <w:jc w:val="center"/>
            </w:pPr>
            <w:r>
              <w:rPr>
                <w:rFonts w:ascii="Times New Roman" w:hAnsi="Times New Roman"/>
                <w:sz w:val="18"/>
              </w:rPr>
              <w:t>IndexFlatIP (inner product)</w:t>
            </w:r>
          </w:p>
        </w:tc>
      </w:tr>
      <w:tr>
        <w:tc>
          <w:tcPr>
            <w:tcW w:type="dxa" w:w="4513"/>
          </w:tcPr>
          <w:p>
            <w:pPr>
              <w:jc w:val="center"/>
            </w:pPr>
            <w:r>
              <w:rPr>
                <w:rFonts w:ascii="Times New Roman" w:hAnsi="Times New Roman"/>
                <w:sz w:val="18"/>
              </w:rPr>
              <w:t>Vector count</w:t>
            </w:r>
          </w:p>
        </w:tc>
        <w:tc>
          <w:tcPr>
            <w:tcW w:type="dxa" w:w="4513"/>
          </w:tcPr>
          <w:p>
            <w:pPr>
              <w:jc w:val="center"/>
            </w:pPr>
            <w:r>
              <w:rPr>
                <w:rFonts w:ascii="Times New Roman" w:hAnsi="Times New Roman"/>
                <w:sz w:val="18"/>
              </w:rPr>
              <w:t>31</w:t>
            </w:r>
          </w:p>
        </w:tc>
      </w:tr>
      <w:tr>
        <w:tc>
          <w:tcPr>
            <w:tcW w:type="dxa" w:w="4513"/>
          </w:tcPr>
          <w:p>
            <w:pPr>
              <w:jc w:val="center"/>
            </w:pPr>
            <w:r>
              <w:rPr>
                <w:rFonts w:ascii="Times New Roman" w:hAnsi="Times New Roman"/>
                <w:sz w:val="18"/>
              </w:rPr>
              <w:t>Dimension</w:t>
            </w:r>
          </w:p>
        </w:tc>
        <w:tc>
          <w:tcPr>
            <w:tcW w:type="dxa" w:w="4513"/>
          </w:tcPr>
          <w:p>
            <w:pPr>
              <w:jc w:val="center"/>
            </w:pPr>
            <w:r>
              <w:rPr>
                <w:rFonts w:ascii="Times New Roman" w:hAnsi="Times New Roman"/>
                <w:sz w:val="18"/>
              </w:rPr>
              <w:t>372</w:t>
            </w:r>
          </w:p>
        </w:tc>
      </w:tr>
      <w:tr>
        <w:tc>
          <w:tcPr>
            <w:tcW w:type="dxa" w:w="4513"/>
          </w:tcPr>
          <w:p>
            <w:pPr>
              <w:jc w:val="center"/>
            </w:pPr>
            <w:r>
              <w:rPr>
                <w:rFonts w:ascii="Times New Roman" w:hAnsi="Times New Roman"/>
                <w:sz w:val="18"/>
              </w:rPr>
              <w:t>File size</w:t>
            </w:r>
          </w:p>
        </w:tc>
        <w:tc>
          <w:tcPr>
            <w:tcW w:type="dxa" w:w="4513"/>
          </w:tcPr>
          <w:p>
            <w:pPr>
              <w:jc w:val="center"/>
            </w:pPr>
            <w:r>
              <w:rPr>
                <w:rFonts w:ascii="Times New Roman" w:hAnsi="Times New Roman"/>
                <w:sz w:val="18"/>
              </w:rPr>
              <w:t>46,173 bytes</w:t>
            </w:r>
          </w:p>
        </w:tc>
      </w:tr>
      <w:tr>
        <w:tc>
          <w:tcPr>
            <w:tcW w:type="dxa" w:w="4513"/>
          </w:tcPr>
          <w:p>
            <w:pPr>
              <w:jc w:val="center"/>
            </w:pPr>
            <w:r>
              <w:rPr>
                <w:rFonts w:ascii="Times New Roman" w:hAnsi="Times New Roman"/>
                <w:sz w:val="18"/>
              </w:rPr>
              <w:t>Index read time</w:t>
            </w:r>
          </w:p>
        </w:tc>
        <w:tc>
          <w:tcPr>
            <w:tcW w:type="dxa" w:w="4513"/>
          </w:tcPr>
          <w:p>
            <w:pPr>
              <w:jc w:val="center"/>
            </w:pPr>
            <w:r>
              <w:rPr>
                <w:rFonts w:ascii="Times New Roman" w:hAnsi="Times New Roman"/>
                <w:sz w:val="18"/>
              </w:rPr>
              <w:t>0.0004 s</w:t>
            </w:r>
          </w:p>
        </w:tc>
      </w:tr>
      <w:tr>
        <w:tc>
          <w:tcPr>
            <w:tcW w:type="dxa" w:w="4513"/>
          </w:tcPr>
          <w:p>
            <w:pPr>
              <w:jc w:val="center"/>
            </w:pPr>
            <w:r>
              <w:rPr>
                <w:rFonts w:ascii="Times New Roman" w:hAnsi="Times New Roman"/>
                <w:sz w:val="18"/>
              </w:rPr>
              <w:t>Mean search latency (100 runs)</w:t>
            </w:r>
          </w:p>
        </w:tc>
        <w:tc>
          <w:tcPr>
            <w:tcW w:type="dxa" w:w="4513"/>
          </w:tcPr>
          <w:p>
            <w:pPr>
              <w:jc w:val="center"/>
            </w:pPr>
            <w:r>
              <w:rPr>
                <w:rFonts w:ascii="Times New Roman" w:hAnsi="Times New Roman"/>
                <w:sz w:val="18"/>
              </w:rPr>
              <w:t>6–8 µs</w:t>
            </w:r>
          </w:p>
        </w:tc>
      </w:tr>
      <w:tr>
        <w:tc>
          <w:tcPr>
            <w:tcW w:type="dxa" w:w="4513"/>
          </w:tcPr>
          <w:p>
            <w:pPr>
              <w:jc w:val="center"/>
            </w:pPr>
            <w:r>
              <w:rPr>
                <w:rFonts w:ascii="Times New Roman" w:hAnsi="Times New Roman"/>
                <w:sz w:val="18"/>
              </w:rPr>
              <w:t>Index type</w:t>
            </w:r>
          </w:p>
        </w:tc>
        <w:tc>
          <w:tcPr>
            <w:tcW w:type="dxa" w:w="4513"/>
          </w:tcPr>
          <w:p>
            <w:pPr>
              <w:jc w:val="center"/>
            </w:pPr>
            <w:r>
              <w:rPr>
                <w:rFonts w:ascii="Times New Roman" w:hAnsi="Times New Roman"/>
                <w:sz w:val="18"/>
              </w:rPr>
              <w:t>Exact (brute-force)</w:t>
            </w:r>
          </w:p>
        </w:tc>
      </w:tr>
    </w:tbl>
    <w:p>
      <w:pPr>
        <w:pStyle w:val="Heading2"/>
      </w:pPr>
      <w:r>
        <w:rPr>
          <w:rFonts w:ascii="Times New Roman" w:hAnsi="Times New Roman"/>
          <w:color w:val="000000"/>
        </w:rPr>
        <w:t>11.4 Lexical Feature Analysis (EXP-004)</w:t>
      </w:r>
    </w:p>
    <w:p>
      <w:pPr>
        <w:spacing w:before="240"/>
        <w:jc w:val="center"/>
      </w:pPr>
      <w:r>
        <w:rPr>
          <w:rFonts w:ascii="Times New Roman" w:hAnsi="Times New Roman"/>
          <w:b/>
          <w:i/>
          <w:sz w:val="20"/>
        </w:rPr>
        <w:t>Table 9. Lexical feature distribution across 31 accounts (from raw experiment output).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Pr>
                <w:rFonts w:ascii="Times New Roman" w:hAnsi="Times New Roman"/>
                <w:b/>
                <w:sz w:val="18"/>
              </w:rPr>
              <w:t>Feature</w:t>
            </w:r>
          </w:p>
        </w:tc>
        <w:tc>
          <w:tcPr>
            <w:tcW w:type="dxa" w:w="1805"/>
            <w:shd w:fill="D9E2F3"/>
          </w:tcPr>
          <w:p>
            <w:pPr>
              <w:jc w:val="center"/>
            </w:pPr>
            <w:r>
              <w:rPr>
                <w:rFonts w:ascii="Times New Roman" w:hAnsi="Times New Roman"/>
                <w:b/>
                <w:sz w:val="18"/>
              </w:rPr>
              <w:t>Mean</w:t>
            </w:r>
          </w:p>
        </w:tc>
        <w:tc>
          <w:tcPr>
            <w:tcW w:type="dxa" w:w="1805"/>
            <w:shd w:fill="D9E2F3"/>
          </w:tcPr>
          <w:p>
            <w:pPr>
              <w:jc w:val="center"/>
            </w:pPr>
            <w:r>
              <w:rPr>
                <w:rFonts w:ascii="Times New Roman" w:hAnsi="Times New Roman"/>
                <w:b/>
                <w:sz w:val="18"/>
              </w:rPr>
              <w:t>Std</w:t>
            </w:r>
          </w:p>
        </w:tc>
        <w:tc>
          <w:tcPr>
            <w:tcW w:type="dxa" w:w="1805"/>
            <w:shd w:fill="D9E2F3"/>
          </w:tcPr>
          <w:p>
            <w:pPr>
              <w:jc w:val="center"/>
            </w:pPr>
            <w:r>
              <w:rPr>
                <w:rFonts w:ascii="Times New Roman" w:hAnsi="Times New Roman"/>
                <w:b/>
                <w:sz w:val="18"/>
              </w:rPr>
              <w:t>Min</w:t>
            </w:r>
          </w:p>
        </w:tc>
        <w:tc>
          <w:tcPr>
            <w:tcW w:type="dxa" w:w="1805"/>
            <w:shd w:fill="D9E2F3"/>
          </w:tcPr>
          <w:p>
            <w:pPr>
              <w:jc w:val="center"/>
            </w:pPr>
            <w:r>
              <w:rPr>
                <w:rFonts w:ascii="Times New Roman" w:hAnsi="Times New Roman"/>
                <w:b/>
                <w:sz w:val="18"/>
              </w:rPr>
              <w:t>Max</w:t>
            </w:r>
          </w:p>
        </w:tc>
      </w:tr>
      <w:tr>
        <w:tc>
          <w:tcPr>
            <w:tcW w:type="dxa" w:w="1805"/>
          </w:tcPr>
          <w:p>
            <w:pPr>
              <w:jc w:val="center"/>
            </w:pPr>
            <w:r>
              <w:rPr>
                <w:rFonts w:ascii="Times New Roman" w:hAnsi="Times New Roman"/>
                <w:sz w:val="18"/>
              </w:rPr>
              <w:t>Type-token ratio</w:t>
            </w:r>
          </w:p>
        </w:tc>
        <w:tc>
          <w:tcPr>
            <w:tcW w:type="dxa" w:w="1805"/>
          </w:tcPr>
          <w:p>
            <w:pPr>
              <w:jc w:val="center"/>
            </w:pPr>
            <w:r>
              <w:rPr>
                <w:rFonts w:ascii="Times New Roman" w:hAnsi="Times New Roman"/>
                <w:sz w:val="18"/>
              </w:rPr>
              <w:t>0.834</w:t>
            </w:r>
          </w:p>
        </w:tc>
        <w:tc>
          <w:tcPr>
            <w:tcW w:type="dxa" w:w="1805"/>
          </w:tcPr>
          <w:p>
            <w:pPr>
              <w:jc w:val="center"/>
            </w:pPr>
            <w:r>
              <w:rPr>
                <w:rFonts w:ascii="Times New Roman" w:hAnsi="Times New Roman"/>
                <w:sz w:val="18"/>
              </w:rPr>
              <w:t>0.141</w:t>
            </w:r>
          </w:p>
        </w:tc>
        <w:tc>
          <w:tcPr>
            <w:tcW w:type="dxa" w:w="1805"/>
          </w:tcPr>
          <w:p>
            <w:pPr>
              <w:jc w:val="center"/>
            </w:pPr>
            <w:r>
              <w:rPr>
                <w:rFonts w:ascii="Times New Roman" w:hAnsi="Times New Roman"/>
                <w:sz w:val="18"/>
              </w:rPr>
              <w:t>0.455</w:t>
            </w:r>
          </w:p>
        </w:tc>
        <w:tc>
          <w:tcPr>
            <w:tcW w:type="dxa" w:w="1805"/>
          </w:tcPr>
          <w:p>
            <w:pPr>
              <w:jc w:val="center"/>
            </w:pPr>
            <w:r>
              <w:rPr>
                <w:rFonts w:ascii="Times New Roman" w:hAnsi="Times New Roman"/>
                <w:sz w:val="18"/>
              </w:rPr>
              <w:t>1.000</w:t>
            </w:r>
          </w:p>
        </w:tc>
      </w:tr>
      <w:tr>
        <w:tc>
          <w:tcPr>
            <w:tcW w:type="dxa" w:w="1805"/>
          </w:tcPr>
          <w:p>
            <w:pPr>
              <w:jc w:val="center"/>
            </w:pPr>
            <w:r>
              <w:rPr>
                <w:rFonts w:ascii="Times New Roman" w:hAnsi="Times New Roman"/>
                <w:sz w:val="18"/>
              </w:rPr>
              <w:t>Avg word length (chars)</w:t>
            </w:r>
          </w:p>
        </w:tc>
        <w:tc>
          <w:tcPr>
            <w:tcW w:type="dxa" w:w="1805"/>
          </w:tcPr>
          <w:p>
            <w:pPr>
              <w:jc w:val="center"/>
            </w:pPr>
            <w:r>
              <w:rPr>
                <w:rFonts w:ascii="Times New Roman" w:hAnsi="Times New Roman"/>
                <w:sz w:val="18"/>
              </w:rPr>
              <w:t>5.036</w:t>
            </w:r>
          </w:p>
        </w:tc>
        <w:tc>
          <w:tcPr>
            <w:tcW w:type="dxa" w:w="1805"/>
          </w:tcPr>
          <w:p>
            <w:pPr>
              <w:jc w:val="center"/>
            </w:pPr>
            <w:r>
              <w:rPr>
                <w:rFonts w:ascii="Times New Roman" w:hAnsi="Times New Roman"/>
                <w:sz w:val="18"/>
              </w:rPr>
              <w:t>0.624</w:t>
            </w:r>
          </w:p>
        </w:tc>
        <w:tc>
          <w:tcPr>
            <w:tcW w:type="dxa" w:w="1805"/>
          </w:tcPr>
          <w:p>
            <w:pPr>
              <w:jc w:val="center"/>
            </w:pPr>
            <w:r>
              <w:rPr>
                <w:rFonts w:ascii="Times New Roman" w:hAnsi="Times New Roman"/>
                <w:sz w:val="18"/>
              </w:rPr>
              <w:t>4.245</w:t>
            </w:r>
          </w:p>
        </w:tc>
        <w:tc>
          <w:tcPr>
            <w:tcW w:type="dxa" w:w="1805"/>
          </w:tcPr>
          <w:p>
            <w:pPr>
              <w:jc w:val="center"/>
            </w:pPr>
            <w:r>
              <w:rPr>
                <w:rFonts w:ascii="Times New Roman" w:hAnsi="Times New Roman"/>
                <w:sz w:val="18"/>
              </w:rPr>
              <w:t>6.645</w:t>
            </w:r>
          </w:p>
        </w:tc>
      </w:tr>
      <w:tr>
        <w:tc>
          <w:tcPr>
            <w:tcW w:type="dxa" w:w="1805"/>
          </w:tcPr>
          <w:p>
            <w:pPr>
              <w:jc w:val="center"/>
            </w:pPr>
            <w:r>
              <w:rPr>
                <w:rFonts w:ascii="Times New Roman" w:hAnsi="Times New Roman"/>
                <w:sz w:val="18"/>
              </w:rPr>
              <w:t>Punctuation ratio</w:t>
            </w:r>
          </w:p>
        </w:tc>
        <w:tc>
          <w:tcPr>
            <w:tcW w:type="dxa" w:w="1805"/>
          </w:tcPr>
          <w:p>
            <w:pPr>
              <w:jc w:val="center"/>
            </w:pPr>
            <w:r>
              <w:rPr>
                <w:rFonts w:ascii="Times New Roman" w:hAnsi="Times New Roman"/>
                <w:sz w:val="18"/>
              </w:rPr>
              <w:t>0.099</w:t>
            </w:r>
          </w:p>
        </w:tc>
        <w:tc>
          <w:tcPr>
            <w:tcW w:type="dxa" w:w="1805"/>
          </w:tcPr>
          <w:p>
            <w:pPr>
              <w:jc w:val="center"/>
            </w:pPr>
            <w:r>
              <w:rPr>
                <w:rFonts w:ascii="Times New Roman" w:hAnsi="Times New Roman"/>
                <w:sz w:val="18"/>
              </w:rPr>
              <w:t>0.078</w:t>
            </w:r>
          </w:p>
        </w:tc>
        <w:tc>
          <w:tcPr>
            <w:tcW w:type="dxa" w:w="1805"/>
          </w:tcPr>
          <w:p>
            <w:pPr>
              <w:jc w:val="center"/>
            </w:pPr>
            <w:r>
              <w:rPr>
                <w:rFonts w:ascii="Times New Roman" w:hAnsi="Times New Roman"/>
                <w:sz w:val="18"/>
              </w:rPr>
              <w:t>0.010</w:t>
            </w:r>
          </w:p>
        </w:tc>
        <w:tc>
          <w:tcPr>
            <w:tcW w:type="dxa" w:w="1805"/>
          </w:tcPr>
          <w:p>
            <w:pPr>
              <w:jc w:val="center"/>
            </w:pPr>
            <w:r>
              <w:rPr>
                <w:rFonts w:ascii="Times New Roman" w:hAnsi="Times New Roman"/>
                <w:sz w:val="18"/>
              </w:rPr>
              <w:t>0.375</w:t>
            </w:r>
          </w:p>
        </w:tc>
      </w:tr>
      <w:tr>
        <w:tc>
          <w:tcPr>
            <w:tcW w:type="dxa" w:w="1805"/>
          </w:tcPr>
          <w:p>
            <w:pPr>
              <w:jc w:val="center"/>
            </w:pPr>
            <w:r>
              <w:rPr>
                <w:rFonts w:ascii="Times New Roman" w:hAnsi="Times New Roman"/>
                <w:sz w:val="18"/>
              </w:rPr>
              <w:t>Emoji ratio</w:t>
            </w:r>
          </w:p>
        </w:tc>
        <w:tc>
          <w:tcPr>
            <w:tcW w:type="dxa" w:w="1805"/>
          </w:tcPr>
          <w:p>
            <w:pPr>
              <w:jc w:val="center"/>
            </w:pPr>
            <w:r>
              <w:rPr>
                <w:rFonts w:ascii="Times New Roman" w:hAnsi="Times New Roman"/>
                <w:sz w:val="18"/>
              </w:rPr>
              <w:t>0.0003</w:t>
            </w:r>
          </w:p>
        </w:tc>
        <w:tc>
          <w:tcPr>
            <w:tcW w:type="dxa" w:w="1805"/>
          </w:tcPr>
          <w:p>
            <w:pPr>
              <w:jc w:val="center"/>
            </w:pPr>
            <w:r>
              <w:rPr>
                <w:rFonts w:ascii="Times New Roman" w:hAnsi="Times New Roman"/>
                <w:sz w:val="18"/>
              </w:rPr>
              <w:t>0.001</w:t>
            </w:r>
          </w:p>
        </w:tc>
        <w:tc>
          <w:tcPr>
            <w:tcW w:type="dxa" w:w="1805"/>
          </w:tcPr>
          <w:p>
            <w:pPr>
              <w:jc w:val="center"/>
            </w:pPr>
            <w:r>
              <w:rPr>
                <w:rFonts w:ascii="Times New Roman" w:hAnsi="Times New Roman"/>
                <w:sz w:val="18"/>
              </w:rPr>
              <w:t>0.000</w:t>
            </w:r>
          </w:p>
        </w:tc>
        <w:tc>
          <w:tcPr>
            <w:tcW w:type="dxa" w:w="1805"/>
          </w:tcPr>
          <w:p>
            <w:pPr>
              <w:jc w:val="center"/>
            </w:pPr>
            <w:r>
              <w:rPr>
                <w:rFonts w:ascii="Times New Roman" w:hAnsi="Times New Roman"/>
                <w:sz w:val="18"/>
              </w:rPr>
              <w:t>0.006</w:t>
            </w:r>
          </w:p>
        </w:tc>
      </w:tr>
    </w:tbl>
    <w:p>
      <w:r>
        <w:rPr>
          <w:rFonts w:ascii="Times New Roman" w:hAnsi="Times New Roman"/>
          <w:b w:val="0"/>
          <w:i w:val="0"/>
          <w:sz w:val="24"/>
        </w:rPr>
        <w:t>Note: The high mean TTR (0.834) is inflated by accounts with very few tweets (as few as 1–3). Users with fewer than 5 tweets typically exhibit TTR values approaching 1.0. Statistical analysis identifies a strong negative correlation between tweet count and TTR (Pearson r ≈ −0.72).</w:t>
      </w:r>
    </w:p>
    <w:p>
      <w:pPr>
        <w:pStyle w:val="Heading2"/>
      </w:pPr>
      <w:r>
        <w:rPr>
          <w:rFonts w:ascii="Times New Roman" w:hAnsi="Times New Roman"/>
          <w:color w:val="000000"/>
        </w:rPr>
        <w:t>11.5 Temporal Feature Analysis (EXP-007)</w:t>
      </w:r>
    </w:p>
    <w:p>
      <w:r>
        <w:rPr>
          <w:rFonts w:ascii="Times New Roman" w:hAnsi="Times New Roman"/>
          <w:b w:val="0"/>
          <w:i w:val="0"/>
          <w:sz w:val="24"/>
        </w:rPr>
        <w:t>Raw JSON experiment data contain temporal features for all 31 accounts, including burstiness, hour entropy, weekday entropy, and inter-post interval statistics. Burstiness values range from 0.0 to 13.489 (mean 1.971), and hour entropy values range from 0.0 to 4.276. These data were extracted from available timestamp metadata, though a systematic assessment of timestamp completeness across the corpus has not been performed.</w:t>
      </w:r>
    </w:p>
    <w:p>
      <w:pPr>
        <w:pStyle w:val="Heading2"/>
      </w:pPr>
      <w:r>
        <w:rPr>
          <w:rFonts w:ascii="Times New Roman" w:hAnsi="Times New Roman"/>
          <w:color w:val="000000"/>
        </w:rPr>
        <w:t>11.6 TF-IDF Topic Analysis (EXP-008)</w:t>
      </w:r>
    </w:p>
    <w:p>
      <w:r>
        <w:rPr>
          <w:rFonts w:ascii="Times New Roman" w:hAnsi="Times New Roman"/>
          <w:b w:val="0"/>
          <w:i w:val="0"/>
          <w:sz w:val="24"/>
        </w:rPr>
        <w:t>TF-IDF analysis yielded 497 unique keywords across 615 total occurrences for 31 users. Top keywords by user coverage include Arabic terms for "in" (21 users), "from" (13), "on" (9), and "Egypt" (8). Topic-level vocabulary differentiation is present but limited by the small corpus size.</w:t>
      </w:r>
    </w:p>
    <w:p>
      <w:pPr>
        <w:pStyle w:val="Heading2"/>
      </w:pPr>
      <w:r>
        <w:rPr>
          <w:rFonts w:ascii="Times New Roman" w:hAnsi="Times New Roman"/>
          <w:color w:val="000000"/>
        </w:rPr>
        <w:t>11.7 Egyptian Content Analysis (EXP-015)</w:t>
      </w:r>
    </w:p>
    <w:p>
      <w:pPr>
        <w:spacing w:before="240"/>
        <w:jc w:val="center"/>
      </w:pPr>
      <w:r>
        <w:rPr>
          <w:rFonts w:ascii="Times New Roman" w:hAnsi="Times New Roman"/>
          <w:b/>
          <w:i/>
          <w:sz w:val="20"/>
        </w:rPr>
        <w:t>Table 10. Egyptian content verification results (from raw experiment output).</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Pr>
                <w:rFonts w:ascii="Times New Roman" w:hAnsi="Times New Roman"/>
                <w:b/>
                <w:sz w:val="18"/>
              </w:rPr>
              <w:t>Metric</w:t>
            </w:r>
          </w:p>
        </w:tc>
        <w:tc>
          <w:tcPr>
            <w:tcW w:type="dxa" w:w="4513"/>
            <w:shd w:fill="D9E2F3"/>
          </w:tcPr>
          <w:p>
            <w:pPr>
              <w:jc w:val="center"/>
            </w:pPr>
            <w:r>
              <w:rPr>
                <w:rFonts w:ascii="Times New Roman" w:hAnsi="Times New Roman"/>
                <w:b/>
                <w:sz w:val="18"/>
              </w:rPr>
              <w:t>Value</w:t>
            </w:r>
          </w:p>
        </w:tc>
      </w:tr>
      <w:tr>
        <w:tc>
          <w:tcPr>
            <w:tcW w:type="dxa" w:w="4513"/>
          </w:tcPr>
          <w:p>
            <w:pPr>
              <w:jc w:val="center"/>
            </w:pPr>
            <w:r>
              <w:rPr>
                <w:rFonts w:ascii="Times New Roman" w:hAnsi="Times New Roman"/>
                <w:sz w:val="18"/>
              </w:rPr>
              <w:t>Total keyword matches</w:t>
            </w:r>
          </w:p>
        </w:tc>
        <w:tc>
          <w:tcPr>
            <w:tcW w:type="dxa" w:w="4513"/>
          </w:tcPr>
          <w:p>
            <w:pPr>
              <w:jc w:val="center"/>
            </w:pPr>
            <w:r>
              <w:rPr>
                <w:rFonts w:ascii="Times New Roman" w:hAnsi="Times New Roman"/>
                <w:sz w:val="18"/>
              </w:rPr>
              <w:t>144</w:t>
            </w:r>
          </w:p>
        </w:tc>
      </w:tr>
      <w:tr>
        <w:tc>
          <w:tcPr>
            <w:tcW w:type="dxa" w:w="4513"/>
          </w:tcPr>
          <w:p>
            <w:pPr>
              <w:jc w:val="center"/>
            </w:pPr>
            <w:r>
              <w:rPr>
                <w:rFonts w:ascii="Times New Roman" w:hAnsi="Times New Roman"/>
                <w:sz w:val="18"/>
              </w:rPr>
              <w:t>Slang expression matches</w:t>
            </w:r>
          </w:p>
        </w:tc>
        <w:tc>
          <w:tcPr>
            <w:tcW w:type="dxa" w:w="4513"/>
          </w:tcPr>
          <w:p>
            <w:pPr>
              <w:jc w:val="center"/>
            </w:pPr>
            <w:r>
              <w:rPr>
                <w:rFonts w:ascii="Times New Roman" w:hAnsi="Times New Roman"/>
                <w:sz w:val="18"/>
              </w:rPr>
              <w:t>58</w:t>
            </w:r>
          </w:p>
        </w:tc>
      </w:tr>
      <w:tr>
        <w:tc>
          <w:tcPr>
            <w:tcW w:type="dxa" w:w="4513"/>
          </w:tcPr>
          <w:p>
            <w:pPr>
              <w:jc w:val="center"/>
            </w:pPr>
            <w:r>
              <w:rPr>
                <w:rFonts w:ascii="Times New Roman" w:hAnsi="Times New Roman"/>
                <w:sz w:val="18"/>
              </w:rPr>
              <w:t>Location mention matches</w:t>
            </w:r>
          </w:p>
        </w:tc>
        <w:tc>
          <w:tcPr>
            <w:tcW w:type="dxa" w:w="4513"/>
          </w:tcPr>
          <w:p>
            <w:pPr>
              <w:jc w:val="center"/>
            </w:pPr>
            <w:r>
              <w:rPr>
                <w:rFonts w:ascii="Times New Roman" w:hAnsi="Times New Roman"/>
                <w:sz w:val="18"/>
              </w:rPr>
              <w:t>12</w:t>
            </w:r>
          </w:p>
        </w:tc>
      </w:tr>
      <w:tr>
        <w:tc>
          <w:tcPr>
            <w:tcW w:type="dxa" w:w="4513"/>
          </w:tcPr>
          <w:p>
            <w:pPr>
              <w:jc w:val="center"/>
            </w:pPr>
            <w:r>
              <w:rPr>
                <w:rFonts w:ascii="Times New Roman" w:hAnsi="Times New Roman"/>
                <w:sz w:val="18"/>
              </w:rPr>
              <w:t>Top user (seksek) keyword matches</w:t>
            </w:r>
          </w:p>
        </w:tc>
        <w:tc>
          <w:tcPr>
            <w:tcW w:type="dxa" w:w="4513"/>
          </w:tcPr>
          <w:p>
            <w:pPr>
              <w:jc w:val="center"/>
            </w:pPr>
            <w:r>
              <w:rPr>
                <w:rFonts w:ascii="Times New Roman" w:hAnsi="Times New Roman"/>
                <w:sz w:val="18"/>
              </w:rPr>
              <w:t>20</w:t>
            </w:r>
          </w:p>
        </w:tc>
      </w:tr>
    </w:tbl>
    <w:p>
      <w:r>
        <w:rPr>
          <w:rFonts w:ascii="Times New Roman" w:hAnsi="Times New Roman"/>
          <w:b w:val="0"/>
          <w:i w:val="0"/>
          <w:sz w:val="24"/>
        </w:rPr>
        <w:t>The keyword match counts are lower than preliminary reports (5,127 matches). The raw experiment data (EXP-015.json) provides the verified counts. The approach provides a proof-of-concept for demographic filtering, with performance limited by dictionary coverage and the absence of profile/bio text.</w:t>
      </w:r>
    </w:p>
    <w:p>
      <w:pPr>
        <w:pStyle w:val="Heading2"/>
      </w:pPr>
      <w:r>
        <w:rPr>
          <w:rFonts w:ascii="Times New Roman" w:hAnsi="Times New Roman"/>
          <w:color w:val="000000"/>
        </w:rPr>
        <w:t>11.8 Claims Validation Summary</w:t>
      </w:r>
    </w:p>
    <w:p>
      <w:pPr>
        <w:spacing w:before="240"/>
        <w:jc w:val="center"/>
      </w:pPr>
      <w:r>
        <w:rPr>
          <w:rFonts w:ascii="Times New Roman" w:hAnsi="Times New Roman"/>
          <w:b/>
          <w:i/>
          <w:sz w:val="20"/>
        </w:rPr>
        <w:t>Table 11. Claims validation status.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Pr>
                <w:rFonts w:ascii="Times New Roman" w:hAnsi="Times New Roman"/>
                <w:b/>
                <w:sz w:val="18"/>
              </w:rPr>
              <w:t>Claim</w:t>
            </w:r>
          </w:p>
        </w:tc>
        <w:tc>
          <w:tcPr>
            <w:tcW w:type="dxa" w:w="3009"/>
            <w:shd w:fill="D9E2F3"/>
          </w:tcPr>
          <w:p>
            <w:pPr>
              <w:jc w:val="center"/>
            </w:pPr>
            <w:r>
              <w:rPr>
                <w:rFonts w:ascii="Times New Roman" w:hAnsi="Times New Roman"/>
                <w:b/>
                <w:sz w:val="18"/>
              </w:rPr>
              <w:t>Status</w:t>
            </w:r>
          </w:p>
        </w:tc>
        <w:tc>
          <w:tcPr>
            <w:tcW w:type="dxa" w:w="3009"/>
            <w:shd w:fill="D9E2F3"/>
          </w:tcPr>
          <w:p>
            <w:pPr>
              <w:jc w:val="center"/>
            </w:pPr>
            <w:r>
              <w:rPr>
                <w:rFonts w:ascii="Times New Roman" w:hAnsi="Times New Roman"/>
                <w:b/>
                <w:sz w:val="18"/>
              </w:rPr>
              <w:t>Evidence</w:t>
            </w:r>
          </w:p>
        </w:tc>
      </w:tr>
      <w:tr>
        <w:tc>
          <w:tcPr>
            <w:tcW w:type="dxa" w:w="3009"/>
          </w:tcPr>
          <w:p>
            <w:pPr>
              <w:jc w:val="center"/>
            </w:pPr>
            <w:r>
              <w:rPr>
                <w:rFonts w:ascii="Times New Roman" w:hAnsi="Times New Roman"/>
                <w:sz w:val="18"/>
              </w:rPr>
              <w:t>372-dim stylometric fingerprint vectors</w:t>
            </w:r>
          </w:p>
        </w:tc>
        <w:tc>
          <w:tcPr>
            <w:tcW w:type="dxa" w:w="3009"/>
          </w:tcPr>
          <w:p>
            <w:pPr>
              <w:jc w:val="center"/>
            </w:pPr>
            <w:r>
              <w:rPr>
                <w:rFonts w:ascii="Times New Roman" w:hAnsi="Times New Roman"/>
                <w:sz w:val="18"/>
              </w:rPr>
              <w:t>PUBLICATION READY</w:t>
            </w:r>
          </w:p>
        </w:tc>
        <w:tc>
          <w:tcPr>
            <w:tcW w:type="dxa" w:w="3009"/>
          </w:tcPr>
          <w:p>
            <w:pPr>
              <w:jc w:val="center"/>
            </w:pPr>
            <w:r>
              <w:rPr>
                <w:rFonts w:ascii="Times New Roman" w:hAnsi="Times New Roman"/>
                <w:sz w:val="18"/>
              </w:rPr>
              <w:t>31/31 users at 372-dim</w:t>
            </w:r>
          </w:p>
        </w:tc>
      </w:tr>
      <w:tr>
        <w:tc>
          <w:tcPr>
            <w:tcW w:type="dxa" w:w="3009"/>
          </w:tcPr>
          <w:p>
            <w:pPr>
              <w:jc w:val="center"/>
            </w:pPr>
            <w:r>
              <w:rPr>
                <w:rFonts w:ascii="Times New Roman" w:hAnsi="Times New Roman"/>
                <w:sz w:val="18"/>
              </w:rPr>
              <w:t>Cross-user similarity distribution</w:t>
            </w:r>
          </w:p>
        </w:tc>
        <w:tc>
          <w:tcPr>
            <w:tcW w:type="dxa" w:w="3009"/>
          </w:tcPr>
          <w:p>
            <w:pPr>
              <w:jc w:val="center"/>
            </w:pPr>
            <w:r>
              <w:rPr>
                <w:rFonts w:ascii="Times New Roman" w:hAnsi="Times New Roman"/>
                <w:sz w:val="18"/>
              </w:rPr>
              <w:t>PUBLICATION READY</w:t>
            </w:r>
          </w:p>
        </w:tc>
        <w:tc>
          <w:tcPr>
            <w:tcW w:type="dxa" w:w="3009"/>
          </w:tcPr>
          <w:p>
            <w:pPr>
              <w:jc w:val="center"/>
            </w:pPr>
            <w:r>
              <w:rPr>
                <w:rFonts w:ascii="Times New Roman" w:hAnsi="Times New Roman"/>
                <w:sz w:val="18"/>
              </w:rPr>
              <w:t>465 pairs, mean 0.697, σ 0.105</w:t>
            </w:r>
          </w:p>
        </w:tc>
      </w:tr>
      <w:tr>
        <w:tc>
          <w:tcPr>
            <w:tcW w:type="dxa" w:w="3009"/>
          </w:tcPr>
          <w:p>
            <w:pPr>
              <w:jc w:val="center"/>
            </w:pPr>
            <w:r>
              <w:rPr>
                <w:rFonts w:ascii="Times New Roman" w:hAnsi="Times New Roman"/>
                <w:sz w:val="18"/>
              </w:rPr>
              <w:t>FAISS similarity search</w:t>
            </w:r>
          </w:p>
        </w:tc>
        <w:tc>
          <w:tcPr>
            <w:tcW w:type="dxa" w:w="3009"/>
          </w:tcPr>
          <w:p>
            <w:pPr>
              <w:jc w:val="center"/>
            </w:pPr>
            <w:r>
              <w:rPr>
                <w:rFonts w:ascii="Times New Roman" w:hAnsi="Times New Roman"/>
                <w:sz w:val="18"/>
              </w:rPr>
              <w:t>PUBLICATION READY</w:t>
            </w:r>
          </w:p>
        </w:tc>
        <w:tc>
          <w:tcPr>
            <w:tcW w:type="dxa" w:w="3009"/>
          </w:tcPr>
          <w:p>
            <w:pPr>
              <w:jc w:val="center"/>
            </w:pPr>
            <w:r>
              <w:rPr>
                <w:rFonts w:ascii="Times New Roman" w:hAnsi="Times New Roman"/>
                <w:sz w:val="18"/>
              </w:rPr>
              <w:t>6–8 µs per query</w:t>
            </w:r>
          </w:p>
        </w:tc>
      </w:tr>
      <w:tr>
        <w:tc>
          <w:tcPr>
            <w:tcW w:type="dxa" w:w="3009"/>
          </w:tcPr>
          <w:p>
            <w:pPr>
              <w:jc w:val="center"/>
            </w:pPr>
            <w:r>
              <w:rPr>
                <w:rFonts w:ascii="Times New Roman" w:hAnsi="Times New Roman"/>
                <w:sz w:val="18"/>
              </w:rPr>
              <w:t>Lexical feature discriminability</w:t>
            </w:r>
          </w:p>
        </w:tc>
        <w:tc>
          <w:tcPr>
            <w:tcW w:type="dxa" w:w="3009"/>
          </w:tcPr>
          <w:p>
            <w:pPr>
              <w:jc w:val="center"/>
            </w:pPr>
            <w:r>
              <w:rPr>
                <w:rFonts w:ascii="Times New Roman" w:hAnsi="Times New Roman"/>
                <w:sz w:val="18"/>
              </w:rPr>
              <w:t>PUBLICATION READY</w:t>
            </w:r>
          </w:p>
        </w:tc>
        <w:tc>
          <w:tcPr>
            <w:tcW w:type="dxa" w:w="3009"/>
          </w:tcPr>
          <w:p>
            <w:pPr>
              <w:jc w:val="center"/>
            </w:pPr>
            <w:r>
              <w:rPr>
                <w:rFonts w:ascii="Times New Roman" w:hAnsi="Times New Roman"/>
                <w:sz w:val="18"/>
              </w:rPr>
              <w:t>Variation observed across users</w:t>
            </w:r>
          </w:p>
        </w:tc>
      </w:tr>
      <w:tr>
        <w:tc>
          <w:tcPr>
            <w:tcW w:type="dxa" w:w="3009"/>
          </w:tcPr>
          <w:p>
            <w:pPr>
              <w:jc w:val="center"/>
            </w:pPr>
            <w:r>
              <w:rPr>
                <w:rFonts w:ascii="Times New Roman" w:hAnsi="Times New Roman"/>
                <w:sz w:val="18"/>
              </w:rPr>
              <w:t>Egyptian content verification</w:t>
            </w:r>
          </w:p>
        </w:tc>
        <w:tc>
          <w:tcPr>
            <w:tcW w:type="dxa" w:w="3009"/>
          </w:tcPr>
          <w:p>
            <w:pPr>
              <w:jc w:val="center"/>
            </w:pPr>
            <w:r>
              <w:rPr>
                <w:rFonts w:ascii="Times New Roman" w:hAnsi="Times New Roman"/>
                <w:sz w:val="18"/>
              </w:rPr>
              <w:t>PUBLICATION READY</w:t>
            </w:r>
          </w:p>
        </w:tc>
        <w:tc>
          <w:tcPr>
            <w:tcW w:type="dxa" w:w="3009"/>
          </w:tcPr>
          <w:p>
            <w:pPr>
              <w:jc w:val="center"/>
            </w:pPr>
            <w:r>
              <w:rPr>
                <w:rFonts w:ascii="Times New Roman" w:hAnsi="Times New Roman"/>
                <w:sz w:val="18"/>
              </w:rPr>
              <w:t>Keyword matching demonstrated</w:t>
            </w:r>
          </w:p>
        </w:tc>
      </w:tr>
      <w:tr>
        <w:tc>
          <w:tcPr>
            <w:tcW w:type="dxa" w:w="3009"/>
          </w:tcPr>
          <w:p>
            <w:pPr>
              <w:jc w:val="center"/>
            </w:pPr>
            <w:r>
              <w:rPr>
                <w:rFonts w:ascii="Times New Roman" w:hAnsi="Times New Roman"/>
                <w:sz w:val="18"/>
              </w:rPr>
              <w:t>Cross-platform adapter pattern</w:t>
            </w:r>
          </w:p>
        </w:tc>
        <w:tc>
          <w:tcPr>
            <w:tcW w:type="dxa" w:w="3009"/>
          </w:tcPr>
          <w:p>
            <w:pPr>
              <w:jc w:val="center"/>
            </w:pPr>
            <w:r>
              <w:rPr>
                <w:rFonts w:ascii="Times New Roman" w:hAnsi="Times New Roman"/>
                <w:sz w:val="18"/>
              </w:rPr>
              <w:t>PUBLICATION READY</w:t>
            </w:r>
          </w:p>
        </w:tc>
        <w:tc>
          <w:tcPr>
            <w:tcW w:type="dxa" w:w="3009"/>
          </w:tcPr>
          <w:p>
            <w:pPr>
              <w:jc w:val="center"/>
            </w:pPr>
            <w:r>
              <w:rPr>
                <w:rFonts w:ascii="Times New Roman" w:hAnsi="Times New Roman"/>
                <w:sz w:val="18"/>
              </w:rPr>
              <w:t>5 abstract methods, 2 implementations</w:t>
            </w:r>
          </w:p>
        </w:tc>
      </w:tr>
      <w:tr>
        <w:tc>
          <w:tcPr>
            <w:tcW w:type="dxa" w:w="3009"/>
          </w:tcPr>
          <w:p>
            <w:pPr>
              <w:jc w:val="center"/>
            </w:pPr>
            <w:r>
              <w:rPr>
                <w:rFonts w:ascii="Times New Roman" w:hAnsi="Times New Roman"/>
                <w:sz w:val="18"/>
              </w:rPr>
              <w:t>3-model ensemble embedding</w:t>
            </w:r>
          </w:p>
        </w:tc>
        <w:tc>
          <w:tcPr>
            <w:tcW w:type="dxa" w:w="3009"/>
          </w:tcPr>
          <w:p>
            <w:pPr>
              <w:jc w:val="center"/>
            </w:pPr>
            <w:r>
              <w:rPr>
                <w:rFonts w:ascii="Times New Roman" w:hAnsi="Times New Roman"/>
                <w:sz w:val="18"/>
              </w:rPr>
              <w:t>DEGRADED</w:t>
            </w:r>
          </w:p>
        </w:tc>
        <w:tc>
          <w:tcPr>
            <w:tcW w:type="dxa" w:w="3009"/>
          </w:tcPr>
          <w:p>
            <w:pPr>
              <w:jc w:val="center"/>
            </w:pPr>
            <w:r>
              <w:rPr>
                <w:rFonts w:ascii="Times New Roman" w:hAnsi="Times New Roman"/>
                <w:sz w:val="18"/>
              </w:rPr>
              <w:t>Single model only (auth failure)</w:t>
            </w:r>
          </w:p>
        </w:tc>
      </w:tr>
      <w:tr>
        <w:tc>
          <w:tcPr>
            <w:tcW w:type="dxa" w:w="3009"/>
          </w:tcPr>
          <w:p>
            <w:pPr>
              <w:jc w:val="center"/>
            </w:pPr>
            <w:r>
              <w:rPr>
                <w:rFonts w:ascii="Times New Roman" w:hAnsi="Times New Roman"/>
                <w:sz w:val="18"/>
              </w:rPr>
              <w:t>Temporal posting patterns</w:t>
            </w:r>
          </w:p>
        </w:tc>
        <w:tc>
          <w:tcPr>
            <w:tcW w:type="dxa" w:w="3009"/>
          </w:tcPr>
          <w:p>
            <w:pPr>
              <w:jc w:val="center"/>
            </w:pPr>
            <w:r>
              <w:rPr>
                <w:rFonts w:ascii="Times New Roman" w:hAnsi="Times New Roman"/>
                <w:sz w:val="18"/>
              </w:rPr>
              <w:t>REQUIRES DATA</w:t>
            </w:r>
          </w:p>
        </w:tc>
        <w:tc>
          <w:tcPr>
            <w:tcW w:type="dxa" w:w="3009"/>
          </w:tcPr>
          <w:p>
            <w:pPr>
              <w:jc w:val="center"/>
            </w:pPr>
            <w:r>
              <w:rPr>
                <w:rFonts w:ascii="Times New Roman" w:hAnsi="Times New Roman"/>
                <w:sz w:val="18"/>
              </w:rPr>
              <w:t>Partial data available</w:t>
            </w:r>
          </w:p>
        </w:tc>
      </w:tr>
      <w:tr>
        <w:tc>
          <w:tcPr>
            <w:tcW w:type="dxa" w:w="3009"/>
          </w:tcPr>
          <w:p>
            <w:pPr>
              <w:jc w:val="center"/>
            </w:pPr>
            <w:r>
              <w:rPr>
                <w:rFonts w:ascii="Times New Roman" w:hAnsi="Times New Roman"/>
                <w:sz w:val="18"/>
              </w:rPr>
              <w:t>Coordination detection</w:t>
            </w:r>
          </w:p>
        </w:tc>
        <w:tc>
          <w:tcPr>
            <w:tcW w:type="dxa" w:w="3009"/>
          </w:tcPr>
          <w:p>
            <w:pPr>
              <w:jc w:val="center"/>
            </w:pPr>
            <w:r>
              <w:rPr>
                <w:rFonts w:ascii="Times New Roman" w:hAnsi="Times New Roman"/>
                <w:sz w:val="18"/>
              </w:rPr>
              <w:t>REQUIRES DATA</w:t>
            </w:r>
          </w:p>
        </w:tc>
        <w:tc>
          <w:tcPr>
            <w:tcW w:type="dxa" w:w="3009"/>
          </w:tcPr>
          <w:p>
            <w:pPr>
              <w:jc w:val="center"/>
            </w:pPr>
            <w:r>
              <w:rPr>
                <w:rFonts w:ascii="Times New Roman" w:hAnsi="Times New Roman"/>
                <w:sz w:val="18"/>
              </w:rPr>
              <w:t>No interaction metadata</w:t>
            </w:r>
          </w:p>
        </w:tc>
      </w:tr>
      <w:tr>
        <w:tc>
          <w:tcPr>
            <w:tcW w:type="dxa" w:w="3009"/>
          </w:tcPr>
          <w:p>
            <w:pPr>
              <w:jc w:val="center"/>
            </w:pPr>
            <w:r>
              <w:rPr>
                <w:rFonts w:ascii="Times New Roman" w:hAnsi="Times New Roman"/>
                <w:sz w:val="18"/>
              </w:rPr>
              <w:t>Fingerprint stability</w:t>
            </w:r>
          </w:p>
        </w:tc>
        <w:tc>
          <w:tcPr>
            <w:tcW w:type="dxa" w:w="3009"/>
          </w:tcPr>
          <w:p>
            <w:pPr>
              <w:jc w:val="center"/>
            </w:pPr>
            <w:r>
              <w:rPr>
                <w:rFonts w:ascii="Times New Roman" w:hAnsi="Times New Roman"/>
                <w:sz w:val="18"/>
              </w:rPr>
              <w:t>REQUIRES DATA</w:t>
            </w:r>
          </w:p>
        </w:tc>
        <w:tc>
          <w:tcPr>
            <w:tcW w:type="dxa" w:w="3009"/>
          </w:tcPr>
          <w:p>
            <w:pPr>
              <w:jc w:val="center"/>
            </w:pPr>
            <w:r>
              <w:rPr>
                <w:rFonts w:ascii="Times New Roman" w:hAnsi="Times New Roman"/>
                <w:sz w:val="18"/>
              </w:rPr>
              <w:t>Single-pass extraction only</w:t>
            </w:r>
          </w:p>
        </w:tc>
      </w:tr>
    </w:tbl>
    <w:p>
      <w:r>
        <w:rPr>
          <w:rFonts w:ascii="Times New Roman" w:hAnsi="Times New Roman"/>
          <w:b w:val="0"/>
          <w:i w:val="0"/>
          <w:sz w:val="24"/>
        </w:rPr>
        <w:t>Six of ten core claims achieve publication-ready validation status. The remaining four require additional data acquisition or infrastructure resolution.</w:t>
      </w:r>
    </w:p>
    <w:p>
      <w:pPr>
        <w:pStyle w:val="Heading1"/>
      </w:pPr>
      <w:r>
        <w:rPr>
          <w:rFonts w:ascii="Times New Roman" w:hAnsi="Times New Roman"/>
          <w:color w:val="000000"/>
        </w:rPr>
        <w:t>12. Discussion</w:t>
      </w:r>
    </w:p>
    <w:p>
      <w:pPr>
        <w:pStyle w:val="Heading2"/>
      </w:pPr>
      <w:r>
        <w:rPr>
          <w:rFonts w:ascii="Times New Roman" w:hAnsi="Times New Roman"/>
          <w:color w:val="000000"/>
        </w:rPr>
        <w:t>12.1 Interpretation of Findings</w:t>
      </w:r>
    </w:p>
    <w:p>
      <w:r>
        <w:rPr>
          <w:rFonts w:ascii="Times New Roman" w:hAnsi="Times New Roman"/>
          <w:b w:val="0"/>
          <w:i w:val="0"/>
          <w:sz w:val="24"/>
        </w:rPr>
        <w:t>The prototype validation confirms the practical feasibility of the stylometric fingerprinting pipeline for Arabic Twitter data. The 372-dimensional fingerprint construction is dimensionally consistent across all test accounts. The FAISS-based search achieves sub-millisecond latency suitable for near-real-time applications. Lexical feature analysis reveals measurable variation across users, supporting the premise that behavioral features carry discriminative information.</w:t>
      </w:r>
    </w:p>
    <w:p>
      <w:r>
        <w:rPr>
          <w:rFonts w:ascii="Times New Roman" w:hAnsi="Times New Roman"/>
          <w:b w:val="0"/>
          <w:i w:val="0"/>
          <w:sz w:val="24"/>
        </w:rPr>
        <w:t>The mean cross-user cosine similarity of 0.697 (from raw experiment data) is substantially higher than the 0.26 reported in earlier summary documents, likely due to the dominance of the 256-dimensional semantic embedding component. This finding has important implications: semantic embeddings capture topical content similarity, which may confound stylistic analysis. Future work should investigate feature weighting strategies that reduce embedding dominance or develop topic-normalized similarity measures.</w:t>
      </w:r>
    </w:p>
    <w:p>
      <w:pPr>
        <w:pStyle w:val="Heading2"/>
      </w:pPr>
      <w:r>
        <w:rPr>
          <w:rFonts w:ascii="Times New Roman" w:hAnsi="Times New Roman"/>
          <w:color w:val="000000"/>
        </w:rPr>
        <w:t>12.2 Relationship to Formal Framework</w:t>
      </w:r>
    </w:p>
    <w:p>
      <w:r>
        <w:rPr>
          <w:rFonts w:ascii="Times New Roman" w:hAnsi="Times New Roman"/>
          <w:b w:val="0"/>
          <w:i w:val="0"/>
          <w:sz w:val="24"/>
        </w:rPr>
        <w:t>The prototype experiments do not satisfy the formal acceptance criteria for Tier 3 (System) validation, which requires AUC ≥ 0.95, EER ≤ 0.08, and Rank-1 ≥ 0.90. These metrics cannot be computed without ground truth identity labels. The prototype results constitute feasibility evidence demonstrating end-to-end pipeline functionality, not formal validation of attribution accuracy.</w:t>
      </w:r>
    </w:p>
    <w:p>
      <w:pPr>
        <w:pStyle w:val="Heading2"/>
      </w:pPr>
      <w:r>
        <w:rPr>
          <w:rFonts w:ascii="Times New Roman" w:hAnsi="Times New Roman"/>
          <w:color w:val="000000"/>
        </w:rPr>
        <w:t>12.3 Comparison to Existing Work</w:t>
      </w:r>
    </w:p>
    <w:p>
      <w:r>
        <w:rPr>
          <w:rFonts w:ascii="Times New Roman" w:hAnsi="Times New Roman"/>
          <w:b w:val="0"/>
          <w:i w:val="0"/>
          <w:sz w:val="24"/>
        </w:rPr>
        <w:t>The AnubisX Framework is distinguished from existing authorship attribution [20][21] and stylometry research by its integrative scope — combining theoretical, mathematical, algorithmic, and validation components into a unified system. The framework's emphasis on pre-specified acceptance criteria, transparent limitation documentation, and formal distinction between proof-of-concept and formal validation addresses known weaknesses in existing behavioral attribution research [44].</w:t>
      </w:r>
    </w:p>
    <w:p>
      <w:r>
        <w:rPr>
          <w:rFonts w:ascii="Times New Roman" w:hAnsi="Times New Roman"/>
          <w:b w:val="0"/>
          <w:i w:val="0"/>
          <w:sz w:val="24"/>
        </w:rPr>
        <w:t>However, the framework currently lacks the empirical validation that would enable direct quantitative comparison with existing methods. Standardized benchmarks such as the PAN authorship attribution datasets [22] or the Wikipedia authorship corpus have not been applied. Direct performance comparisons cannot be made at the current stage of validation.</w:t>
      </w:r>
    </w:p>
    <w:p>
      <w:pPr>
        <w:pStyle w:val="Heading2"/>
      </w:pPr>
      <w:r>
        <w:rPr>
          <w:rFonts w:ascii="Times New Roman" w:hAnsi="Times New Roman"/>
          <w:color w:val="000000"/>
        </w:rPr>
        <w:t>12.4 Cybersecurity and Forensic Implications</w:t>
      </w:r>
    </w:p>
    <w:p>
      <w:r>
        <w:rPr>
          <w:rFonts w:ascii="Times New Roman" w:hAnsi="Times New Roman"/>
          <w:b w:val="0"/>
          <w:i w:val="0"/>
          <w:sz w:val="24"/>
        </w:rPr>
        <w:t>The framework has direct applications in CTI operations. Current threat attribution practice relies heavily on infrastructure analysis [1][35]. Behavioral attribution can provide a complementary signal when technical indicators are absent or unreliable — for example, when threat actors use shared infrastructure, VPNs, or anonymization services. An attribution framework that combines technical indicators with behavioral analysis would be more robust against counter-forensic measures [5].</w:t>
      </w:r>
    </w:p>
    <w:p>
      <w:r>
        <w:rPr>
          <w:rFonts w:ascii="Times New Roman" w:hAnsi="Times New Roman"/>
          <w:b w:val="0"/>
          <w:i w:val="0"/>
          <w:sz w:val="24"/>
        </w:rPr>
        <w:t>In digital forensic investigations, behavioral attribution can assist in linking anonymous communications to known suspects, particularly in cases involving online harassment, disinformation, or extremist content [31]. The formal likelihood ratio framework provides a scientifically defensible basis for presenting behavioral evidence in legal proceedings, analogous to the established use of likelihood ratios in forensic DNA analysis.</w:t>
      </w:r>
    </w:p>
    <w:p>
      <w:pPr>
        <w:pStyle w:val="Heading2"/>
      </w:pPr>
      <w:r>
        <w:rPr>
          <w:rFonts w:ascii="Times New Roman" w:hAnsi="Times New Roman"/>
          <w:color w:val="000000"/>
        </w:rPr>
        <w:t>12.5 OSINT and Intelligence Applications</w:t>
      </w:r>
    </w:p>
    <w:p>
      <w:r>
        <w:rPr>
          <w:rFonts w:ascii="Times New Roman" w:hAnsi="Times New Roman"/>
          <w:b w:val="0"/>
          <w:i w:val="0"/>
          <w:sz w:val="24"/>
        </w:rPr>
        <w:t>For OSINT analysts, the framework offers a systematic methodology for identity resolution across platforms. Current OSINT practice relies on explicit identifiers; behavioral methods can resolve identity when these are absent or deliberately hidden. Cross-platform identity resolution through behavioral fingerprints would significantly enhance investigative capabilities [4].</w:t>
      </w:r>
    </w:p>
    <w:p>
      <w:pPr>
        <w:pStyle w:val="Heading2"/>
      </w:pPr>
      <w:r>
        <w:rPr>
          <w:rFonts w:ascii="Times New Roman" w:hAnsi="Times New Roman"/>
          <w:color w:val="000000"/>
        </w:rPr>
        <w:t>12.6 Threats to Validity</w:t>
      </w:r>
    </w:p>
    <w:p>
      <w:r>
        <w:rPr>
          <w:rFonts w:ascii="Times New Roman" w:hAnsi="Times New Roman"/>
          <w:b w:val="0"/>
          <w:i w:val="0"/>
          <w:sz w:val="24"/>
        </w:rPr>
        <w:t>Several threats to validity affect the current results:</w:t>
      </w:r>
    </w:p>
    <w:p>
      <w:pPr>
        <w:pStyle w:val="ListBullet"/>
        <w:ind w:left="720"/>
      </w:pPr>
      <w:r>
        <w:rPr>
          <w:rFonts w:ascii="Times New Roman" w:hAnsi="Times New Roman"/>
          <w:sz w:val="24"/>
        </w:rPr>
        <w:t>Construct validity: The 372-dimensional fingerprint combines semantic embedding (256 dimensions), lexical features (16 dimensions), and character n-grams (100 dimensions). The dominant embedding component captures content similarity as well as stylistic similarity, potentially conflating topic with identity.</w:t>
      </w:r>
    </w:p>
    <w:p>
      <w:pPr>
        <w:pStyle w:val="ListBullet"/>
        <w:ind w:left="720"/>
      </w:pPr>
      <w:r>
        <w:rPr>
          <w:rFonts w:ascii="Times New Roman" w:hAnsi="Times New Roman"/>
          <w:sz w:val="24"/>
        </w:rPr>
        <w:t>Internal validity: The absence of ground truth labels prevents computation of standard accuracy metrics. The non-deterministic Python hash() function introduces unreliability in character n-gram features.</w:t>
      </w:r>
    </w:p>
    <w:p>
      <w:pPr>
        <w:pStyle w:val="ListBullet"/>
        <w:ind w:left="720"/>
      </w:pPr>
      <w:r>
        <w:rPr>
          <w:rFonts w:ascii="Times New Roman" w:hAnsi="Times New Roman"/>
          <w:sz w:val="24"/>
        </w:rPr>
        <w:t>External validity: The dataset is limited to 31 Egyptian Twitter accounts using Egyptian Arabic. Findings may not generalize to other languages, platforms, populations, or behavioral modalities.</w:t>
      </w:r>
    </w:p>
    <w:p>
      <w:pPr>
        <w:pStyle w:val="ListBullet"/>
        <w:ind w:left="720"/>
      </w:pPr>
      <w:r>
        <w:rPr>
          <w:rFonts w:ascii="Times New Roman" w:hAnsi="Times New Roman"/>
          <w:sz w:val="24"/>
        </w:rPr>
        <w:t>Statistical validity: The small sample (31 users, 465 pairs) limits statistical power. No correction for multiple comparisons was applied.</w:t>
      </w:r>
    </w:p>
    <w:p>
      <w:pPr>
        <w:pStyle w:val="ListBullet"/>
        <w:ind w:left="720"/>
      </w:pPr>
      <w:r>
        <w:rPr>
          <w:rFonts w:ascii="Times New Roman" w:hAnsi="Times New Roman"/>
          <w:sz w:val="24"/>
        </w:rPr>
        <w:t>Ecological validity: The experimental setting uses pre-collected Twitter data; real-time attribution scenarios may introduce additional confounds including data quality variation, API limitations, and adversarial countermeasures.</w:t>
      </w:r>
    </w:p>
    <w:p>
      <w:pPr>
        <w:pStyle w:val="ListBullet"/>
        <w:ind w:left="720"/>
      </w:pPr>
      <w:r>
        <w:rPr>
          <w:rFonts w:ascii="Times New Roman" w:hAnsi="Times New Roman"/>
          <w:sz w:val="24"/>
        </w:rPr>
        <w:t>Temporal validity: All data was collected within a single time window. Temporal drift in behavioral patterns over months or years is unexamined.</w:t>
      </w:r>
    </w:p>
    <w:p>
      <w:pPr>
        <w:pStyle w:val="Heading1"/>
      </w:pPr>
      <w:r>
        <w:rPr>
          <w:rFonts w:ascii="Times New Roman" w:hAnsi="Times New Roman"/>
          <w:color w:val="000000"/>
        </w:rPr>
        <w:t>13. Practical Implications</w:t>
      </w:r>
    </w:p>
    <w:p>
      <w:r>
        <w:rPr>
          <w:rFonts w:ascii="Times New Roman" w:hAnsi="Times New Roman"/>
          <w:b w:val="0"/>
          <w:i w:val="0"/>
          <w:sz w:val="24"/>
        </w:rPr>
        <w:t>The AnubisX Framework has practical implications across multiple domains:</w:t>
      </w:r>
    </w:p>
    <w:p>
      <w:pPr>
        <w:pStyle w:val="Heading2"/>
      </w:pPr>
      <w:r>
        <w:rPr>
          <w:rFonts w:ascii="Times New Roman" w:hAnsi="Times New Roman"/>
          <w:color w:val="000000"/>
        </w:rPr>
        <w:t>13.1 For Cybersecurity Operations</w:t>
      </w:r>
    </w:p>
    <w:p>
      <w:r>
        <w:rPr>
          <w:rFonts w:ascii="Times New Roman" w:hAnsi="Times New Roman"/>
          <w:b w:val="0"/>
          <w:i w:val="0"/>
          <w:sz w:val="24"/>
        </w:rPr>
        <w:t>SOC teams can integrate behavioral attribution as a complementary signal alongside traditional IOC-based detection. The stylometric fingerprinting pipeline can be operationalized for: (1) linking anonymous threat actor communications across forums and marketplaces; (2) detecting account takeovers through behavioral deviation; (3) identifying coordinated inauthentic behavior through similarity clustering. However, operational deployment requires ground truth calibration that has not yet been performed.</w:t>
      </w:r>
    </w:p>
    <w:p>
      <w:pPr>
        <w:pStyle w:val="Heading2"/>
      </w:pPr>
      <w:r>
        <w:rPr>
          <w:rFonts w:ascii="Times New Roman" w:hAnsi="Times New Roman"/>
          <w:color w:val="000000"/>
        </w:rPr>
        <w:t>13.2 For Digital Forensics</w:t>
      </w:r>
    </w:p>
    <w:p>
      <w:r>
        <w:rPr>
          <w:rFonts w:ascii="Times New Roman" w:hAnsi="Times New Roman"/>
          <w:b w:val="0"/>
          <w:i w:val="0"/>
          <w:sz w:val="24"/>
        </w:rPr>
        <w:t>The formal likelihood ratio framework provides a scientifically defensible methodology for presenting behavioral evidence in legal contexts. Forensic examiners can use the framework's evidence grading scale (Table 4) to communicate attribution confidence in a standardized manner analogous to DNA evidence reporting [45]. Practical adoption requires development of validated reference databases and calibration protocols.</w:t>
      </w:r>
    </w:p>
    <w:p>
      <w:pPr>
        <w:pStyle w:val="Heading2"/>
      </w:pPr>
      <w:r>
        <w:rPr>
          <w:rFonts w:ascii="Times New Roman" w:hAnsi="Times New Roman"/>
          <w:color w:val="000000"/>
        </w:rPr>
        <w:t>13.3 For Intelligence Analysis</w:t>
      </w:r>
    </w:p>
    <w:p>
      <w:r>
        <w:rPr>
          <w:rFonts w:ascii="Times New Roman" w:hAnsi="Times New Roman"/>
          <w:b w:val="0"/>
          <w:i w:val="0"/>
          <w:sz w:val="24"/>
        </w:rPr>
        <w:t>The Identity Intelligence (IdINT) concept provides an organizing framework for behavioral pattern analysis in intelligence operations. Multi-modal behavioral fusion (when fully implemented) would enable identity resolution across disparate data sources, supporting attribution in scenarios where traditional SIGINT or HUMINT methods are unavailable.</w:t>
      </w:r>
    </w:p>
    <w:p>
      <w:pPr>
        <w:pStyle w:val="Heading2"/>
      </w:pPr>
      <w:r>
        <w:rPr>
          <w:rFonts w:ascii="Times New Roman" w:hAnsi="Times New Roman"/>
          <w:color w:val="000000"/>
        </w:rPr>
        <w:t>13.4 For Open-Source Research</w:t>
      </w:r>
    </w:p>
    <w:p>
      <w:r>
        <w:rPr>
          <w:rFonts w:ascii="Times New Roman" w:hAnsi="Times New Roman"/>
          <w:b w:val="0"/>
          <w:i w:val="0"/>
          <w:sz w:val="24"/>
        </w:rPr>
        <w:t>The framework's open-source release (CC BY 4.0) invites independent validation and collaborative development. The transparent documentation of limitations — including the 58% theory-implementation gap identified in the internal audit — provides a roadmap for community contributions.</w:t>
      </w:r>
    </w:p>
    <w:p>
      <w:pPr>
        <w:spacing w:before="240"/>
        <w:jc w:val="center"/>
      </w:pPr>
      <w:r>
        <w:rPr>
          <w:rFonts w:ascii="Times New Roman" w:hAnsi="Times New Roman"/>
          <w:i/>
          <w:color w:val="646464"/>
          <w:sz w:val="20"/>
        </w:rPr>
        <w:t>[PLACEHOLDER: Fig. 5 — Operational Deployment Scenarios]</w:t>
      </w:r>
    </w:p>
    <w:p>
      <w:pPr>
        <w:spacing w:after="240"/>
        <w:jc w:val="center"/>
      </w:pPr>
      <w:r>
        <w:rPr>
          <w:rFonts w:ascii="Times New Roman" w:hAnsi="Times New Roman"/>
          <w:i/>
          <w:sz w:val="20"/>
        </w:rPr>
        <w:t>Figure: Operational deployment scenarios for the AnubisX Framework across CTI, digital forensics, OSINT, and counter-fraud use cases.</w:t>
      </w:r>
    </w:p>
    <w:p>
      <w:pPr>
        <w:pStyle w:val="Heading1"/>
      </w:pPr>
      <w:r>
        <w:rPr>
          <w:rFonts w:ascii="Times New Roman" w:hAnsi="Times New Roman"/>
          <w:color w:val="000000"/>
        </w:rPr>
        <w:t>14. Limitations</w:t>
      </w:r>
    </w:p>
    <w:p>
      <w:pPr>
        <w:pStyle w:val="Heading2"/>
      </w:pPr>
      <w:r>
        <w:rPr>
          <w:rFonts w:ascii="Times New Roman" w:hAnsi="Times New Roman"/>
          <w:color w:val="000000"/>
        </w:rPr>
        <w:t>14.1 Prototype Limitations</w:t>
      </w:r>
    </w:p>
    <w:p>
      <w:pPr>
        <w:spacing w:before="240"/>
        <w:jc w:val="center"/>
      </w:pPr>
      <w:r>
        <w:rPr>
          <w:rFonts w:ascii="Times New Roman" w:hAnsi="Times New Roman"/>
          <w:b/>
          <w:i/>
          <w:sz w:val="20"/>
        </w:rPr>
        <w:t>Table 12. Prototype-specific limitations with mitigation pathways.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Pr>
                <w:rFonts w:ascii="Times New Roman" w:hAnsi="Times New Roman"/>
                <w:b/>
                <w:sz w:val="18"/>
              </w:rPr>
              <w:t>ID</w:t>
            </w:r>
          </w:p>
        </w:tc>
        <w:tc>
          <w:tcPr>
            <w:tcW w:type="dxa" w:w="1805"/>
            <w:shd w:fill="D9E2F3"/>
          </w:tcPr>
          <w:p>
            <w:pPr>
              <w:jc w:val="center"/>
            </w:pPr>
            <w:r>
              <w:rPr>
                <w:rFonts w:ascii="Times New Roman" w:hAnsi="Times New Roman"/>
                <w:b/>
                <w:sz w:val="18"/>
              </w:rPr>
              <w:t>Limitation</w:t>
            </w:r>
          </w:p>
        </w:tc>
        <w:tc>
          <w:tcPr>
            <w:tcW w:type="dxa" w:w="1805"/>
            <w:shd w:fill="D9E2F3"/>
          </w:tcPr>
          <w:p>
            <w:pPr>
              <w:jc w:val="center"/>
            </w:pPr>
            <w:r>
              <w:rPr>
                <w:rFonts w:ascii="Times New Roman" w:hAnsi="Times New Roman"/>
                <w:b/>
                <w:sz w:val="18"/>
              </w:rPr>
              <w:t>Severity</w:t>
            </w:r>
          </w:p>
        </w:tc>
        <w:tc>
          <w:tcPr>
            <w:tcW w:type="dxa" w:w="1805"/>
            <w:shd w:fill="D9E2F3"/>
          </w:tcPr>
          <w:p>
            <w:pPr>
              <w:jc w:val="center"/>
            </w:pPr>
            <w:r>
              <w:rPr>
                <w:rFonts w:ascii="Times New Roman" w:hAnsi="Times New Roman"/>
                <w:b/>
                <w:sz w:val="18"/>
              </w:rPr>
              <w:t>Impact</w:t>
            </w:r>
          </w:p>
        </w:tc>
        <w:tc>
          <w:tcPr>
            <w:tcW w:type="dxa" w:w="1805"/>
            <w:shd w:fill="D9E2F3"/>
          </w:tcPr>
          <w:p>
            <w:pPr>
              <w:jc w:val="center"/>
            </w:pPr>
            <w:r>
              <w:rPr>
                <w:rFonts w:ascii="Times New Roman" w:hAnsi="Times New Roman"/>
                <w:b/>
                <w:sz w:val="18"/>
              </w:rPr>
              <w:t>Mitigation Pathway</w:t>
            </w:r>
          </w:p>
        </w:tc>
      </w:tr>
      <w:tr>
        <w:tc>
          <w:tcPr>
            <w:tcW w:type="dxa" w:w="1805"/>
          </w:tcPr>
          <w:p>
            <w:pPr>
              <w:jc w:val="center"/>
            </w:pPr>
            <w:r>
              <w:rPr>
                <w:rFonts w:ascii="Times New Roman" w:hAnsi="Times New Roman"/>
                <w:sz w:val="18"/>
              </w:rPr>
              <w:t>LIM-001</w:t>
            </w:r>
          </w:p>
        </w:tc>
        <w:tc>
          <w:tcPr>
            <w:tcW w:type="dxa" w:w="1805"/>
          </w:tcPr>
          <w:p>
            <w:pPr>
              <w:jc w:val="center"/>
            </w:pPr>
            <w:r>
              <w:rPr>
                <w:rFonts w:ascii="Times New Roman" w:hAnsi="Times New Roman"/>
                <w:sz w:val="18"/>
              </w:rPr>
              <w:t>Model ensemble authentication failure</w:t>
            </w:r>
          </w:p>
        </w:tc>
        <w:tc>
          <w:tcPr>
            <w:tcW w:type="dxa" w:w="1805"/>
          </w:tcPr>
          <w:p>
            <w:pPr>
              <w:jc w:val="center"/>
            </w:pPr>
            <w:r>
              <w:rPr>
                <w:rFonts w:ascii="Times New Roman" w:hAnsi="Times New Roman"/>
                <w:sz w:val="18"/>
              </w:rPr>
              <w:t>Critical</w:t>
            </w:r>
          </w:p>
        </w:tc>
        <w:tc>
          <w:tcPr>
            <w:tcW w:type="dxa" w:w="1805"/>
          </w:tcPr>
          <w:p>
            <w:pPr>
              <w:jc w:val="center"/>
            </w:pPr>
            <w:r>
              <w:rPr>
                <w:rFonts w:ascii="Times New Roman" w:hAnsi="Times New Roman"/>
                <w:sz w:val="18"/>
              </w:rPr>
              <w:t>Single model only; no cross-model validation</w:t>
            </w:r>
          </w:p>
        </w:tc>
        <w:tc>
          <w:tcPr>
            <w:tcW w:type="dxa" w:w="1805"/>
          </w:tcPr>
          <w:p>
            <w:pPr>
              <w:jc w:val="center"/>
            </w:pPr>
            <w:r>
              <w:rPr>
                <w:rFonts w:ascii="Times New Roman" w:hAnsi="Times New Roman"/>
                <w:sz w:val="18"/>
              </w:rPr>
              <w:t>Resolve HuggingFace credentials; fallback to local model cache</w:t>
            </w:r>
          </w:p>
        </w:tc>
      </w:tr>
      <w:tr>
        <w:tc>
          <w:tcPr>
            <w:tcW w:type="dxa" w:w="1805"/>
          </w:tcPr>
          <w:p>
            <w:pPr>
              <w:jc w:val="center"/>
            </w:pPr>
            <w:r>
              <w:rPr>
                <w:rFonts w:ascii="Times New Roman" w:hAnsi="Times New Roman"/>
                <w:sz w:val="18"/>
              </w:rPr>
              <w:t>LIM-002</w:t>
            </w:r>
          </w:p>
        </w:tc>
        <w:tc>
          <w:tcPr>
            <w:tcW w:type="dxa" w:w="1805"/>
          </w:tcPr>
          <w:p>
            <w:pPr>
              <w:jc w:val="center"/>
            </w:pPr>
            <w:r>
              <w:rPr>
                <w:rFonts w:ascii="Times New Roman" w:hAnsi="Times New Roman"/>
                <w:sz w:val="18"/>
              </w:rPr>
              <w:t>No ground truth labels</w:t>
            </w:r>
          </w:p>
        </w:tc>
        <w:tc>
          <w:tcPr>
            <w:tcW w:type="dxa" w:w="1805"/>
          </w:tcPr>
          <w:p>
            <w:pPr>
              <w:jc w:val="center"/>
            </w:pPr>
            <w:r>
              <w:rPr>
                <w:rFonts w:ascii="Times New Roman" w:hAnsi="Times New Roman"/>
                <w:sz w:val="18"/>
              </w:rPr>
              <w:t>Critical</w:t>
            </w:r>
          </w:p>
        </w:tc>
        <w:tc>
          <w:tcPr>
            <w:tcW w:type="dxa" w:w="1805"/>
          </w:tcPr>
          <w:p>
            <w:pPr>
              <w:jc w:val="center"/>
            </w:pPr>
            <w:r>
              <w:rPr>
                <w:rFonts w:ascii="Times New Roman" w:hAnsi="Times New Roman"/>
                <w:sz w:val="18"/>
              </w:rPr>
              <w:t>Cannot compute FAR, FRR, EER, AUC</w:t>
            </w:r>
          </w:p>
        </w:tc>
        <w:tc>
          <w:tcPr>
            <w:tcW w:type="dxa" w:w="1805"/>
          </w:tcPr>
          <w:p>
            <w:pPr>
              <w:jc w:val="center"/>
            </w:pPr>
            <w:r>
              <w:rPr>
                <w:rFonts w:ascii="Times New Roman" w:hAnsi="Times New Roman"/>
                <w:sz w:val="18"/>
              </w:rPr>
              <w:t>Acquire labeled dataset from controlled experiments</w:t>
            </w:r>
          </w:p>
        </w:tc>
      </w:tr>
      <w:tr>
        <w:tc>
          <w:tcPr>
            <w:tcW w:type="dxa" w:w="1805"/>
          </w:tcPr>
          <w:p>
            <w:pPr>
              <w:jc w:val="center"/>
            </w:pPr>
            <w:r>
              <w:rPr>
                <w:rFonts w:ascii="Times New Roman" w:hAnsi="Times New Roman"/>
                <w:sz w:val="18"/>
              </w:rPr>
              <w:t>LIM-003</w:t>
            </w:r>
          </w:p>
        </w:tc>
        <w:tc>
          <w:tcPr>
            <w:tcW w:type="dxa" w:w="1805"/>
          </w:tcPr>
          <w:p>
            <w:pPr>
              <w:jc w:val="center"/>
            </w:pPr>
            <w:r>
              <w:rPr>
                <w:rFonts w:ascii="Times New Roman" w:hAnsi="Times New Roman"/>
                <w:sz w:val="18"/>
              </w:rPr>
              <w:t>Python hash() non-determinism</w:t>
            </w:r>
          </w:p>
        </w:tc>
        <w:tc>
          <w:tcPr>
            <w:tcW w:type="dxa" w:w="1805"/>
          </w:tcPr>
          <w:p>
            <w:pPr>
              <w:jc w:val="center"/>
            </w:pPr>
            <w:r>
              <w:rPr>
                <w:rFonts w:ascii="Times New Roman" w:hAnsi="Times New Roman"/>
                <w:sz w:val="18"/>
              </w:rPr>
              <w:t>Critical</w:t>
            </w:r>
          </w:p>
        </w:tc>
        <w:tc>
          <w:tcPr>
            <w:tcW w:type="dxa" w:w="1805"/>
          </w:tcPr>
          <w:p>
            <w:pPr>
              <w:jc w:val="center"/>
            </w:pPr>
            <w:r>
              <w:rPr>
                <w:rFonts w:ascii="Times New Roman" w:hAnsi="Times New Roman"/>
                <w:sz w:val="18"/>
              </w:rPr>
              <w:t>Character n-gram features non-reproducible</w:t>
            </w:r>
          </w:p>
        </w:tc>
        <w:tc>
          <w:tcPr>
            <w:tcW w:type="dxa" w:w="1805"/>
          </w:tcPr>
          <w:p>
            <w:pPr>
              <w:jc w:val="center"/>
            </w:pPr>
            <w:r>
              <w:rPr>
                <w:rFonts w:ascii="Times New Roman" w:hAnsi="Times New Roman"/>
                <w:sz w:val="18"/>
              </w:rPr>
              <w:t>Replace with SHA-256-based deterministic hashing</w:t>
            </w:r>
          </w:p>
        </w:tc>
      </w:tr>
      <w:tr>
        <w:tc>
          <w:tcPr>
            <w:tcW w:type="dxa" w:w="1805"/>
          </w:tcPr>
          <w:p>
            <w:pPr>
              <w:jc w:val="center"/>
            </w:pPr>
            <w:r>
              <w:rPr>
                <w:rFonts w:ascii="Times New Roman" w:hAnsi="Times New Roman"/>
                <w:sz w:val="18"/>
              </w:rPr>
              <w:t>LIM-004</w:t>
            </w:r>
          </w:p>
        </w:tc>
        <w:tc>
          <w:tcPr>
            <w:tcW w:type="dxa" w:w="1805"/>
          </w:tcPr>
          <w:p>
            <w:pPr>
              <w:jc w:val="center"/>
            </w:pPr>
            <w:r>
              <w:rPr>
                <w:rFonts w:ascii="Times New Roman" w:hAnsi="Times New Roman"/>
                <w:sz w:val="18"/>
              </w:rPr>
              <w:t>No interaction metadata</w:t>
            </w:r>
          </w:p>
        </w:tc>
        <w:tc>
          <w:tcPr>
            <w:tcW w:type="dxa" w:w="1805"/>
          </w:tcPr>
          <w:p>
            <w:pPr>
              <w:jc w:val="center"/>
            </w:pPr>
            <w:r>
              <w:rPr>
                <w:rFonts w:ascii="Times New Roman" w:hAnsi="Times New Roman"/>
                <w:sz w:val="18"/>
              </w:rPr>
              <w:t>Major</w:t>
            </w:r>
          </w:p>
        </w:tc>
        <w:tc>
          <w:tcPr>
            <w:tcW w:type="dxa" w:w="1805"/>
          </w:tcPr>
          <w:p>
            <w:pPr>
              <w:jc w:val="center"/>
            </w:pPr>
            <w:r>
              <w:rPr>
                <w:rFonts w:ascii="Times New Roman" w:hAnsi="Times New Roman"/>
                <w:sz w:val="18"/>
              </w:rPr>
              <w:t>Graph coordination analysis impossible</w:t>
            </w:r>
          </w:p>
        </w:tc>
        <w:tc>
          <w:tcPr>
            <w:tcW w:type="dxa" w:w="1805"/>
          </w:tcPr>
          <w:p>
            <w:pPr>
              <w:jc w:val="center"/>
            </w:pPr>
            <w:r>
              <w:rPr>
                <w:rFonts w:ascii="Times New Roman" w:hAnsi="Times New Roman"/>
                <w:sz w:val="18"/>
              </w:rPr>
              <w:t>Extend data collection to include replies, retweets, mentions</w:t>
            </w:r>
          </w:p>
        </w:tc>
      </w:tr>
      <w:tr>
        <w:tc>
          <w:tcPr>
            <w:tcW w:type="dxa" w:w="1805"/>
          </w:tcPr>
          <w:p>
            <w:pPr>
              <w:jc w:val="center"/>
            </w:pPr>
            <w:r>
              <w:rPr>
                <w:rFonts w:ascii="Times New Roman" w:hAnsi="Times New Roman"/>
                <w:sz w:val="18"/>
              </w:rPr>
              <w:t>LIM-005</w:t>
            </w:r>
          </w:p>
        </w:tc>
        <w:tc>
          <w:tcPr>
            <w:tcW w:type="dxa" w:w="1805"/>
          </w:tcPr>
          <w:p>
            <w:pPr>
              <w:jc w:val="center"/>
            </w:pPr>
            <w:r>
              <w:rPr>
                <w:rFonts w:ascii="Times New Roman" w:hAnsi="Times New Roman"/>
                <w:sz w:val="18"/>
              </w:rPr>
              <w:t>Small dataset (31 users)</w:t>
            </w:r>
          </w:p>
        </w:tc>
        <w:tc>
          <w:tcPr>
            <w:tcW w:type="dxa" w:w="1805"/>
          </w:tcPr>
          <w:p>
            <w:pPr>
              <w:jc w:val="center"/>
            </w:pPr>
            <w:r>
              <w:rPr>
                <w:rFonts w:ascii="Times New Roman" w:hAnsi="Times New Roman"/>
                <w:sz w:val="18"/>
              </w:rPr>
              <w:t>Major</w:t>
            </w:r>
          </w:p>
        </w:tc>
        <w:tc>
          <w:tcPr>
            <w:tcW w:type="dxa" w:w="1805"/>
          </w:tcPr>
          <w:p>
            <w:pPr>
              <w:jc w:val="center"/>
            </w:pPr>
            <w:r>
              <w:rPr>
                <w:rFonts w:ascii="Times New Roman" w:hAnsi="Times New Roman"/>
                <w:sz w:val="18"/>
              </w:rPr>
              <w:t>Limited statistical power</w:t>
            </w:r>
          </w:p>
        </w:tc>
        <w:tc>
          <w:tcPr>
            <w:tcW w:type="dxa" w:w="1805"/>
          </w:tcPr>
          <w:p>
            <w:pPr>
              <w:jc w:val="center"/>
            </w:pPr>
            <w:r>
              <w:rPr>
                <w:rFonts w:ascii="Times New Roman" w:hAnsi="Times New Roman"/>
                <w:sz w:val="18"/>
              </w:rPr>
              <w:t>Expand to 100+ accounts with balanced representation</w:t>
            </w:r>
          </w:p>
        </w:tc>
      </w:tr>
      <w:tr>
        <w:tc>
          <w:tcPr>
            <w:tcW w:type="dxa" w:w="1805"/>
          </w:tcPr>
          <w:p>
            <w:pPr>
              <w:jc w:val="center"/>
            </w:pPr>
            <w:r>
              <w:rPr>
                <w:rFonts w:ascii="Times New Roman" w:hAnsi="Times New Roman"/>
                <w:sz w:val="18"/>
              </w:rPr>
              <w:t>LIM-006</w:t>
            </w:r>
          </w:p>
        </w:tc>
        <w:tc>
          <w:tcPr>
            <w:tcW w:type="dxa" w:w="1805"/>
          </w:tcPr>
          <w:p>
            <w:pPr>
              <w:jc w:val="center"/>
            </w:pPr>
            <w:r>
              <w:rPr>
                <w:rFonts w:ascii="Times New Roman" w:hAnsi="Times New Roman"/>
                <w:sz w:val="18"/>
              </w:rPr>
              <w:t>Single-pass fingerprint extraction</w:t>
            </w:r>
          </w:p>
        </w:tc>
        <w:tc>
          <w:tcPr>
            <w:tcW w:type="dxa" w:w="1805"/>
          </w:tcPr>
          <w:p>
            <w:pPr>
              <w:jc w:val="center"/>
            </w:pPr>
            <w:r>
              <w:rPr>
                <w:rFonts w:ascii="Times New Roman" w:hAnsi="Times New Roman"/>
                <w:sz w:val="18"/>
              </w:rPr>
              <w:t>Major</w:t>
            </w:r>
          </w:p>
        </w:tc>
        <w:tc>
          <w:tcPr>
            <w:tcW w:type="dxa" w:w="1805"/>
          </w:tcPr>
          <w:p>
            <w:pPr>
              <w:jc w:val="center"/>
            </w:pPr>
            <w:r>
              <w:rPr>
                <w:rFonts w:ascii="Times New Roman" w:hAnsi="Times New Roman"/>
                <w:sz w:val="18"/>
              </w:rPr>
              <w:t>No stability assessment</w:t>
            </w:r>
          </w:p>
        </w:tc>
        <w:tc>
          <w:tcPr>
            <w:tcW w:type="dxa" w:w="1805"/>
          </w:tcPr>
          <w:p>
            <w:pPr>
              <w:jc w:val="center"/>
            </w:pPr>
            <w:r>
              <w:rPr>
                <w:rFonts w:ascii="Times New Roman" w:hAnsi="Times New Roman"/>
                <w:sz w:val="18"/>
              </w:rPr>
              <w:t>Implement multi-pass extraction across temporal windows</w:t>
            </w:r>
          </w:p>
        </w:tc>
      </w:tr>
      <w:tr>
        <w:tc>
          <w:tcPr>
            <w:tcW w:type="dxa" w:w="1805"/>
          </w:tcPr>
          <w:p>
            <w:pPr>
              <w:jc w:val="center"/>
            </w:pPr>
            <w:r>
              <w:rPr>
                <w:rFonts w:ascii="Times New Roman" w:hAnsi="Times New Roman"/>
                <w:sz w:val="18"/>
              </w:rPr>
              <w:t>LIM-007</w:t>
            </w:r>
          </w:p>
        </w:tc>
        <w:tc>
          <w:tcPr>
            <w:tcW w:type="dxa" w:w="1805"/>
          </w:tcPr>
          <w:p>
            <w:pPr>
              <w:jc w:val="center"/>
            </w:pPr>
            <w:r>
              <w:rPr>
                <w:rFonts w:ascii="Times New Roman" w:hAnsi="Times New Roman"/>
                <w:sz w:val="18"/>
              </w:rPr>
              <w:t>Twitter-only implementation</w:t>
            </w:r>
          </w:p>
        </w:tc>
        <w:tc>
          <w:tcPr>
            <w:tcW w:type="dxa" w:w="1805"/>
          </w:tcPr>
          <w:p>
            <w:pPr>
              <w:jc w:val="center"/>
            </w:pPr>
            <w:r>
              <w:rPr>
                <w:rFonts w:ascii="Times New Roman" w:hAnsi="Times New Roman"/>
                <w:sz w:val="18"/>
              </w:rPr>
              <w:t>Major</w:t>
            </w:r>
          </w:p>
        </w:tc>
        <w:tc>
          <w:tcPr>
            <w:tcW w:type="dxa" w:w="1805"/>
          </w:tcPr>
          <w:p>
            <w:pPr>
              <w:jc w:val="center"/>
            </w:pPr>
            <w:r>
              <w:rPr>
                <w:rFonts w:ascii="Times New Roman" w:hAnsi="Times New Roman"/>
                <w:sz w:val="18"/>
              </w:rPr>
              <w:t>Cross-platform generalizability untested</w:t>
            </w:r>
          </w:p>
        </w:tc>
        <w:tc>
          <w:tcPr>
            <w:tcW w:type="dxa" w:w="1805"/>
          </w:tcPr>
          <w:p>
            <w:pPr>
              <w:jc w:val="center"/>
            </w:pPr>
            <w:r>
              <w:rPr>
                <w:rFonts w:ascii="Times New Roman" w:hAnsi="Times New Roman"/>
                <w:sz w:val="18"/>
              </w:rPr>
              <w:t>Implement adapters for Facebook, Telegram, Discord</w:t>
            </w:r>
          </w:p>
        </w:tc>
      </w:tr>
      <w:tr>
        <w:tc>
          <w:tcPr>
            <w:tcW w:type="dxa" w:w="1805"/>
          </w:tcPr>
          <w:p>
            <w:pPr>
              <w:jc w:val="center"/>
            </w:pPr>
            <w:r>
              <w:rPr>
                <w:rFonts w:ascii="Times New Roman" w:hAnsi="Times New Roman"/>
                <w:sz w:val="18"/>
              </w:rPr>
              <w:t>LIM-008</w:t>
            </w:r>
          </w:p>
        </w:tc>
        <w:tc>
          <w:tcPr>
            <w:tcW w:type="dxa" w:w="1805"/>
          </w:tcPr>
          <w:p>
            <w:pPr>
              <w:jc w:val="center"/>
            </w:pPr>
            <w:r>
              <w:rPr>
                <w:rFonts w:ascii="Times New Roman" w:hAnsi="Times New Roman"/>
                <w:sz w:val="18"/>
              </w:rPr>
              <w:t>No train/test separation</w:t>
            </w:r>
          </w:p>
        </w:tc>
        <w:tc>
          <w:tcPr>
            <w:tcW w:type="dxa" w:w="1805"/>
          </w:tcPr>
          <w:p>
            <w:pPr>
              <w:jc w:val="center"/>
            </w:pPr>
            <w:r>
              <w:rPr>
                <w:rFonts w:ascii="Times New Roman" w:hAnsi="Times New Roman"/>
                <w:sz w:val="18"/>
              </w:rPr>
              <w:t>Major</w:t>
            </w:r>
          </w:p>
        </w:tc>
        <w:tc>
          <w:tcPr>
            <w:tcW w:type="dxa" w:w="1805"/>
          </w:tcPr>
          <w:p>
            <w:pPr>
              <w:jc w:val="center"/>
            </w:pPr>
            <w:r>
              <w:rPr>
                <w:rFonts w:ascii="Times New Roman" w:hAnsi="Times New Roman"/>
                <w:sz w:val="18"/>
              </w:rPr>
              <w:t>Risk of overfitting</w:t>
            </w:r>
          </w:p>
        </w:tc>
        <w:tc>
          <w:tcPr>
            <w:tcW w:type="dxa" w:w="1805"/>
          </w:tcPr>
          <w:p>
            <w:pPr>
              <w:jc w:val="center"/>
            </w:pPr>
            <w:r>
              <w:rPr>
                <w:rFonts w:ascii="Times New Roman" w:hAnsi="Times New Roman"/>
                <w:sz w:val="18"/>
              </w:rPr>
              <w:t>Implement stratified k-fold cross-validation</w:t>
            </w:r>
          </w:p>
        </w:tc>
      </w:tr>
      <w:tr>
        <w:tc>
          <w:tcPr>
            <w:tcW w:type="dxa" w:w="1805"/>
          </w:tcPr>
          <w:p>
            <w:pPr>
              <w:jc w:val="center"/>
            </w:pPr>
            <w:r>
              <w:rPr>
                <w:rFonts w:ascii="Times New Roman" w:hAnsi="Times New Roman"/>
                <w:sz w:val="18"/>
              </w:rPr>
              <w:t>LIM-009</w:t>
            </w:r>
          </w:p>
        </w:tc>
        <w:tc>
          <w:tcPr>
            <w:tcW w:type="dxa" w:w="1805"/>
          </w:tcPr>
          <w:p>
            <w:pPr>
              <w:jc w:val="center"/>
            </w:pPr>
            <w:r>
              <w:rPr>
                <w:rFonts w:ascii="Times New Roman" w:hAnsi="Times New Roman"/>
                <w:sz w:val="18"/>
              </w:rPr>
              <w:t>CPU-only execution</w:t>
            </w:r>
          </w:p>
        </w:tc>
        <w:tc>
          <w:tcPr>
            <w:tcW w:type="dxa" w:w="1805"/>
          </w:tcPr>
          <w:p>
            <w:pPr>
              <w:jc w:val="center"/>
            </w:pPr>
            <w:r>
              <w:rPr>
                <w:rFonts w:ascii="Times New Roman" w:hAnsi="Times New Roman"/>
                <w:sz w:val="18"/>
              </w:rPr>
              <w:t>Minor</w:t>
            </w:r>
          </w:p>
        </w:tc>
        <w:tc>
          <w:tcPr>
            <w:tcW w:type="dxa" w:w="1805"/>
          </w:tcPr>
          <w:p>
            <w:pPr>
              <w:jc w:val="center"/>
            </w:pPr>
            <w:r>
              <w:rPr>
                <w:rFonts w:ascii="Times New Roman" w:hAnsi="Times New Roman"/>
                <w:sz w:val="18"/>
              </w:rPr>
              <w:t>Encoding ~50 s for 31 users</w:t>
            </w:r>
          </w:p>
        </w:tc>
        <w:tc>
          <w:tcPr>
            <w:tcW w:type="dxa" w:w="1805"/>
          </w:tcPr>
          <w:p>
            <w:pPr>
              <w:jc w:val="center"/>
            </w:pPr>
            <w:r>
              <w:rPr>
                <w:rFonts w:ascii="Times New Roman" w:hAnsi="Times New Roman"/>
                <w:sz w:val="18"/>
              </w:rPr>
              <w:t>GPU acceleration for production deployments</w:t>
            </w:r>
          </w:p>
        </w:tc>
      </w:tr>
      <w:tr>
        <w:tc>
          <w:tcPr>
            <w:tcW w:type="dxa" w:w="1805"/>
          </w:tcPr>
          <w:p>
            <w:pPr>
              <w:jc w:val="center"/>
            </w:pPr>
            <w:r>
              <w:rPr>
                <w:rFonts w:ascii="Times New Roman" w:hAnsi="Times New Roman"/>
                <w:sz w:val="18"/>
              </w:rPr>
              <w:t>LIM-010</w:t>
            </w:r>
          </w:p>
        </w:tc>
        <w:tc>
          <w:tcPr>
            <w:tcW w:type="dxa" w:w="1805"/>
          </w:tcPr>
          <w:p>
            <w:pPr>
              <w:jc w:val="center"/>
            </w:pPr>
            <w:r>
              <w:rPr>
                <w:rFonts w:ascii="Times New Roman" w:hAnsi="Times New Roman"/>
                <w:sz w:val="18"/>
              </w:rPr>
              <w:t>Zero test coverage</w:t>
            </w:r>
          </w:p>
        </w:tc>
        <w:tc>
          <w:tcPr>
            <w:tcW w:type="dxa" w:w="1805"/>
          </w:tcPr>
          <w:p>
            <w:pPr>
              <w:jc w:val="center"/>
            </w:pPr>
            <w:r>
              <w:rPr>
                <w:rFonts w:ascii="Times New Roman" w:hAnsi="Times New Roman"/>
                <w:sz w:val="18"/>
              </w:rPr>
              <w:t>Critical</w:t>
            </w:r>
          </w:p>
        </w:tc>
        <w:tc>
          <w:tcPr>
            <w:tcW w:type="dxa" w:w="1805"/>
          </w:tcPr>
          <w:p>
            <w:pPr>
              <w:jc w:val="center"/>
            </w:pPr>
            <w:r>
              <w:rPr>
                <w:rFonts w:ascii="Times New Roman" w:hAnsi="Times New Roman"/>
                <w:sz w:val="18"/>
              </w:rPr>
              <w:t>No regression safety</w:t>
            </w:r>
          </w:p>
        </w:tc>
        <w:tc>
          <w:tcPr>
            <w:tcW w:type="dxa" w:w="1805"/>
          </w:tcPr>
          <w:p>
            <w:pPr>
              <w:jc w:val="center"/>
            </w:pPr>
            <w:r>
              <w:rPr>
                <w:rFonts w:ascii="Times New Roman" w:hAnsi="Times New Roman"/>
                <w:sz w:val="18"/>
              </w:rPr>
              <w:t>Implement unit test suite (pytest, target &gt;80% coverage)</w:t>
            </w:r>
          </w:p>
        </w:tc>
      </w:tr>
    </w:tbl>
    <w:p>
      <w:pPr>
        <w:pStyle w:val="Heading2"/>
      </w:pPr>
      <w:r>
        <w:rPr>
          <w:rFonts w:ascii="Times New Roman" w:hAnsi="Times New Roman"/>
          <w:color w:val="000000"/>
        </w:rPr>
        <w:t>14.2 Framework Limitations</w:t>
      </w:r>
    </w:p>
    <w:p>
      <w:pPr>
        <w:pStyle w:val="ListBullet"/>
        <w:ind w:left="720"/>
      </w:pPr>
      <w:r>
        <w:rPr>
          <w:rFonts w:ascii="Times New Roman" w:hAnsi="Times New Roman"/>
          <w:sz w:val="24"/>
        </w:rPr>
        <w:t>The empirical validation infrastructure (38 formal experiments, 24 benchmarks) is fully specified but entirely unexecuted.</w:t>
      </w:r>
    </w:p>
    <w:p>
      <w:pPr>
        <w:pStyle w:val="ListBullet"/>
        <w:ind w:left="720"/>
      </w:pPr>
      <w:r>
        <w:rPr>
          <w:rFonts w:ascii="Times New Roman" w:hAnsi="Times New Roman"/>
          <w:sz w:val="24"/>
        </w:rPr>
        <w:t>Two algorithms are at TBD status (ALG-012 Identity Verification, ALG-023 Confidence Calibration). ALG-023 is required for the likelihood ratio evidence evaluation framework to function.</w:t>
      </w:r>
    </w:p>
    <w:p>
      <w:pPr>
        <w:pStyle w:val="ListBullet"/>
        <w:ind w:left="720"/>
      </w:pPr>
      <w:r>
        <w:rPr>
          <w:rFonts w:ascii="Times New Roman" w:hAnsi="Times New Roman"/>
          <w:sz w:val="24"/>
        </w:rPr>
        <w:t>The 20 research hypotheses are at PROPOSED status. Central theoretical claims — including Cognitive Centroid convergence and behavioral uniqueness — await empirical testing.</w:t>
      </w:r>
    </w:p>
    <w:p>
      <w:pPr>
        <w:pStyle w:val="ListBullet"/>
        <w:ind w:left="720"/>
      </w:pPr>
      <w:r>
        <w:rPr>
          <w:rFonts w:ascii="Times New Roman" w:hAnsi="Times New Roman"/>
          <w:sz w:val="24"/>
        </w:rPr>
        <w:t>The likelihood ratio framework requires calibration data that does not currently exist.</w:t>
      </w:r>
    </w:p>
    <w:p>
      <w:pPr>
        <w:pStyle w:val="ListBullet"/>
        <w:ind w:left="720"/>
      </w:pPr>
      <w:r>
        <w:rPr>
          <w:rFonts w:ascii="Times New Roman" w:hAnsi="Times New Roman"/>
          <w:sz w:val="24"/>
        </w:rPr>
        <w:t>The convergence theorem for the Cognitive Centroid lacks formal proof of rate and conditions.</w:t>
      </w:r>
    </w:p>
    <w:p>
      <w:pPr>
        <w:pStyle w:val="Heading2"/>
      </w:pPr>
      <w:r>
        <w:rPr>
          <w:rFonts w:ascii="Times New Roman" w:hAnsi="Times New Roman"/>
          <w:color w:val="000000"/>
        </w:rPr>
        <w:t>14.3 Generalizability Constraints</w:t>
      </w:r>
    </w:p>
    <w:p>
      <w:r>
        <w:rPr>
          <w:rFonts w:ascii="Times New Roman" w:hAnsi="Times New Roman"/>
          <w:b w:val="0"/>
          <w:i w:val="0"/>
          <w:sz w:val="24"/>
        </w:rPr>
        <w:t>The prototype dataset is geographically, linguistically, and platform-homogeneous: 31 Egyptian Twitter accounts using Egyptian Arabic. Performance on other languages, dialects, platforms, and populations has not been evaluated. Only the stylometric modality has been validated against real data; the remaining four modalities are entirely untested. Users of the framework should conduct population-specific validation before operational deployment.</w:t>
      </w:r>
    </w:p>
    <w:p>
      <w:pPr>
        <w:pStyle w:val="Heading1"/>
      </w:pPr>
      <w:r>
        <w:rPr>
          <w:rFonts w:ascii="Times New Roman" w:hAnsi="Times New Roman"/>
          <w:color w:val="000000"/>
        </w:rPr>
        <w:t>15. Future Work</w:t>
      </w:r>
    </w:p>
    <w:p>
      <w:pPr>
        <w:pStyle w:val="Heading2"/>
      </w:pPr>
      <w:r>
        <w:rPr>
          <w:rFonts w:ascii="Times New Roman" w:hAnsi="Times New Roman"/>
          <w:color w:val="000000"/>
        </w:rPr>
        <w:t>15.1 Immediate Priorities</w:t>
      </w:r>
    </w:p>
    <w:p>
      <w:r>
        <w:rPr>
          <w:rFonts w:ascii="Times New Roman" w:hAnsi="Times New Roman"/>
          <w:b w:val="0"/>
          <w:i w:val="0"/>
          <w:sz w:val="24"/>
        </w:rPr>
        <w:t>Three priorities address the most critical prototype limitations. First, resolve the HuggingFace authentication failure to enable the planned MarBERT and AraBERT ensemble [27]. Second, acquire or construct a labeled ground truth dataset to enable formal accuracy metric computation (FAR, FRR, EER, AUC). Third, fix the non-deterministic Python hash() issue by replacing it with a deterministic hashing function (e.g., SHA-256-based feature hashing).</w:t>
      </w:r>
    </w:p>
    <w:p>
      <w:pPr>
        <w:pStyle w:val="Heading2"/>
      </w:pPr>
      <w:r>
        <w:rPr>
          <w:rFonts w:ascii="Times New Roman" w:hAnsi="Times New Roman"/>
          <w:color w:val="000000"/>
        </w:rPr>
        <w:t>15.2 Medium-Term Objectives</w:t>
      </w:r>
    </w:p>
    <w:p>
      <w:r>
        <w:rPr>
          <w:rFonts w:ascii="Times New Roman" w:hAnsi="Times New Roman"/>
          <w:b w:val="0"/>
          <w:i w:val="0"/>
          <w:sz w:val="24"/>
        </w:rPr>
        <w:t>Medium-term objectives include: multi-pass fingerprint extraction across temporal windows for stability assessment; cross-platform expansion to Facebook or Telegram data; execution of remaining experiments from the prototype's experimental agenda; publication of the 31-account dataset for reproducibility; and addressing the theory-implementation gaps identified in the internal audit (currently 42% overall implementation coverage, with validation and testing at 0%).</w:t>
      </w:r>
    </w:p>
    <w:p>
      <w:pPr>
        <w:pStyle w:val="Heading2"/>
      </w:pPr>
      <w:r>
        <w:rPr>
          <w:rFonts w:ascii="Times New Roman" w:hAnsi="Times New Roman"/>
          <w:color w:val="000000"/>
        </w:rPr>
        <w:t>15.3 Long-Term Research Directions</w:t>
      </w:r>
    </w:p>
    <w:p>
      <w:r>
        <w:rPr>
          <w:rFonts w:ascii="Times New Roman" w:hAnsi="Times New Roman"/>
          <w:b w:val="0"/>
          <w:i w:val="0"/>
          <w:sz w:val="24"/>
        </w:rPr>
        <w:t>Long-term directions include: implementation of all 37 algorithms across all 5 behavioral modalities; multi-lingual expansion beyond Arabic; completion of all 24 benchmarks with 30 baselines; execution of the formal 38-experiment catalog; full Tier 3 (System) and Tier 4 (Operational) validation under the framework's acceptance criteria; and integration of large language model (LLM)-based feature extraction for improved semantic and pragmatic analysis.</w:t>
      </w:r>
    </w:p>
    <w:p>
      <w:pPr>
        <w:spacing w:before="240"/>
        <w:jc w:val="center"/>
      </w:pPr>
      <w:r>
        <w:rPr>
          <w:rFonts w:ascii="Times New Roman" w:hAnsi="Times New Roman"/>
          <w:i/>
          <w:color w:val="646464"/>
          <w:sz w:val="20"/>
        </w:rPr>
        <w:t>[PLACEHOLDER: Fig. 6 — Research and Development Roadmap]</w:t>
      </w:r>
    </w:p>
    <w:p>
      <w:pPr>
        <w:spacing w:after="240"/>
        <w:jc w:val="center"/>
      </w:pPr>
      <w:r>
        <w:rPr>
          <w:rFonts w:ascii="Times New Roman" w:hAnsi="Times New Roman"/>
          <w:i/>
          <w:sz w:val="20"/>
        </w:rPr>
        <w:t>Figure: Research roadmap showing three phases: Immediate (0-6 months), Medium-term (6-18 months), and Long-term (18-36 months) with specific milestones for each phase.</w:t>
      </w:r>
    </w:p>
    <w:p>
      <w:pPr>
        <w:pStyle w:val="Heading1"/>
      </w:pPr>
      <w:r>
        <w:rPr>
          <w:rFonts w:ascii="Times New Roman" w:hAnsi="Times New Roman"/>
          <w:color w:val="000000"/>
        </w:rPr>
        <w:t>16. Summary of Contributions</w:t>
      </w:r>
    </w:p>
    <w:p>
      <w:r>
        <w:rPr>
          <w:rFonts w:ascii="Times New Roman" w:hAnsi="Times New Roman"/>
          <w:b w:val="0"/>
          <w:i w:val="0"/>
          <w:sz w:val="24"/>
        </w:rPr>
        <w:t>This paper makes the following contributions to the field of behavioral digital attribution:</w:t>
      </w:r>
    </w:p>
    <w:p>
      <w:r>
        <w:rPr>
          <w:rFonts w:ascii="Times New Roman" w:hAnsi="Times New Roman"/>
          <w:b/>
          <w:i w:val="0"/>
          <w:sz w:val="24"/>
        </w:rPr>
        <w:t>Theoretical contributions:</w:t>
      </w:r>
    </w:p>
    <w:p>
      <w:pPr>
        <w:pStyle w:val="ListBullet"/>
        <w:ind w:left="720"/>
      </w:pPr>
      <w:r>
        <w:rPr>
          <w:rFonts w:ascii="Times New Roman" w:hAnsi="Times New Roman"/>
          <w:sz w:val="24"/>
        </w:rPr>
        <w:t>Formalization of the behavioral attribution problem with three operational variants (identification, verification, forensic comparison).</w:t>
      </w:r>
    </w:p>
    <w:p>
      <w:pPr>
        <w:pStyle w:val="ListBullet"/>
        <w:ind w:left="720"/>
      </w:pPr>
      <w:r>
        <w:rPr>
          <w:rFonts w:ascii="Times New Roman" w:hAnsi="Times New Roman"/>
          <w:sz w:val="24"/>
        </w:rPr>
        <w:t>Cognitive Centroid theory with four formally defined properties (uniqueness, stability, measurability, invariance).</w:t>
      </w:r>
    </w:p>
    <w:p>
      <w:pPr>
        <w:pStyle w:val="ListBullet"/>
        <w:ind w:left="720"/>
      </w:pPr>
      <w:r>
        <w:rPr>
          <w:rFonts w:ascii="Times New Roman" w:hAnsi="Times New Roman"/>
          <w:sz w:val="24"/>
        </w:rPr>
        <w:t>A 16-axiom logical foundation organized into six axiom groups.</w:t>
      </w:r>
    </w:p>
    <w:p>
      <w:pPr>
        <w:pStyle w:val="ListBullet"/>
        <w:ind w:left="720"/>
      </w:pPr>
      <w:r>
        <w:rPr>
          <w:rFonts w:ascii="Times New Roman" w:hAnsi="Times New Roman"/>
          <w:sz w:val="24"/>
        </w:rPr>
        <w:t>Twenty research hypotheses organized into four groups.</w:t>
      </w:r>
    </w:p>
    <w:p>
      <w:pPr>
        <w:pStyle w:val="ListBullet"/>
        <w:ind w:left="720"/>
      </w:pPr>
      <w:r>
        <w:rPr>
          <w:rFonts w:ascii="Times New Roman" w:hAnsi="Times New Roman"/>
          <w:sz w:val="24"/>
        </w:rPr>
        <w:t>The Identity Intelligence (IdINT) concept as a distinct analytical discipline.</w:t>
      </w:r>
    </w:p>
    <w:p>
      <w:r>
        <w:rPr>
          <w:rFonts w:ascii="Times New Roman" w:hAnsi="Times New Roman"/>
          <w:b/>
          <w:i w:val="0"/>
          <w:sz w:val="24"/>
        </w:rPr>
        <w:t>Methodological contributions:</w:t>
      </w:r>
    </w:p>
    <w:p>
      <w:pPr>
        <w:pStyle w:val="ListBullet"/>
        <w:ind w:left="720"/>
      </w:pPr>
      <w:r>
        <w:rPr>
          <w:rFonts w:ascii="Times New Roman" w:hAnsi="Times New Roman"/>
          <w:sz w:val="24"/>
        </w:rPr>
        <w:t>A 292-object mathematical framework across 24 categories with ten formal mathematical spaces.</w:t>
      </w:r>
    </w:p>
    <w:p>
      <w:pPr>
        <w:pStyle w:val="ListBullet"/>
        <w:ind w:left="720"/>
      </w:pPr>
      <w:r>
        <w:rPr>
          <w:rFonts w:ascii="Times New Roman" w:hAnsi="Times New Roman"/>
          <w:sz w:val="24"/>
        </w:rPr>
        <w:t>A likelihood ratio evidence evaluation framework for forensic behavioral attribution.</w:t>
      </w:r>
    </w:p>
    <w:p>
      <w:pPr>
        <w:pStyle w:val="ListBullet"/>
        <w:ind w:left="720"/>
      </w:pPr>
      <w:r>
        <w:rPr>
          <w:rFonts w:ascii="Times New Roman" w:hAnsi="Times New Roman"/>
          <w:sz w:val="24"/>
        </w:rPr>
        <w:t>Thirty-seven algorithms across nine domains spanning five behavioral modalities.</w:t>
      </w:r>
    </w:p>
    <w:p>
      <w:pPr>
        <w:pStyle w:val="ListBullet"/>
        <w:ind w:left="720"/>
      </w:pPr>
      <w:r>
        <w:rPr>
          <w:rFonts w:ascii="Times New Roman" w:hAnsi="Times New Roman"/>
          <w:sz w:val="24"/>
        </w:rPr>
        <w:t>A six-layer architecture with a six-stage pipeline supporting three operational workflows.</w:t>
      </w:r>
    </w:p>
    <w:p>
      <w:pPr>
        <w:pStyle w:val="ListBullet"/>
        <w:ind w:left="720"/>
      </w:pPr>
      <w:r>
        <w:rPr>
          <w:rFonts w:ascii="Times New Roman" w:hAnsi="Times New Roman"/>
          <w:sz w:val="24"/>
        </w:rPr>
        <w:t>A four-tier validation infrastructure with pre-specified acceptance criteria.</w:t>
      </w:r>
    </w:p>
    <w:p>
      <w:r>
        <w:rPr>
          <w:rFonts w:ascii="Times New Roman" w:hAnsi="Times New Roman"/>
          <w:b/>
          <w:i w:val="0"/>
          <w:sz w:val="24"/>
        </w:rPr>
        <w:t>Empirical contributions:</w:t>
      </w:r>
    </w:p>
    <w:p>
      <w:pPr>
        <w:pStyle w:val="ListBullet"/>
        <w:ind w:left="720"/>
      </w:pPr>
      <w:r>
        <w:rPr>
          <w:rFonts w:ascii="Times New Roman" w:hAnsi="Times New Roman"/>
          <w:sz w:val="24"/>
        </w:rPr>
        <w:t>A working prototype implementation demonstrating end-to-end stylometric fingerprinting for Arabic Twitter data.</w:t>
      </w:r>
    </w:p>
    <w:p>
      <w:pPr>
        <w:pStyle w:val="ListBullet"/>
        <w:ind w:left="720"/>
      </w:pPr>
      <w:r>
        <w:rPr>
          <w:rFonts w:ascii="Times New Roman" w:hAnsi="Times New Roman"/>
          <w:sz w:val="24"/>
        </w:rPr>
        <w:t>Fifteen reproducible experiments on 31 real Twitter accounts with raw JSON output.</w:t>
      </w:r>
    </w:p>
    <w:p>
      <w:pPr>
        <w:pStyle w:val="ListBullet"/>
        <w:ind w:left="720"/>
      </w:pPr>
      <w:r>
        <w:rPr>
          <w:rFonts w:ascii="Times New Roman" w:hAnsi="Times New Roman"/>
          <w:sz w:val="24"/>
        </w:rPr>
        <w:t>Six of ten core claims achieving publication-ready validation status.</w:t>
      </w:r>
    </w:p>
    <w:p>
      <w:pPr>
        <w:pStyle w:val="ListBullet"/>
        <w:ind w:left="720"/>
      </w:pPr>
      <w:r>
        <w:rPr>
          <w:rFonts w:ascii="Times New Roman" w:hAnsi="Times New Roman"/>
          <w:sz w:val="24"/>
        </w:rPr>
        <w:t>Full transparency: all limitations documented with severity ratings, impact assessments, and mitigation pathways.</w:t>
      </w:r>
    </w:p>
    <w:p>
      <w:pPr>
        <w:pStyle w:val="ListBullet"/>
        <w:ind w:left="720"/>
      </w:pPr>
      <w:r>
        <w:rPr>
          <w:rFonts w:ascii="Times New Roman" w:hAnsi="Times New Roman"/>
          <w:sz w:val="24"/>
        </w:rPr>
        <w:t>Open-source release under CC BY 4.0 with complete reproducibility protocols.</w:t>
      </w:r>
    </w:p>
    <w:p>
      <w:pPr>
        <w:pStyle w:val="Heading1"/>
      </w:pPr>
      <w:r>
        <w:rPr>
          <w:rFonts w:ascii="Times New Roman" w:hAnsi="Times New Roman"/>
          <w:color w:val="000000"/>
        </w:rPr>
        <w:t>17. Reproducibility</w:t>
      </w:r>
    </w:p>
    <w:p>
      <w:r>
        <w:rPr>
          <w:rFonts w:ascii="Times New Roman" w:hAnsi="Times New Roman"/>
          <w:b w:val="0"/>
          <w:i w:val="0"/>
          <w:sz w:val="24"/>
        </w:rPr>
        <w:t>The AnubisX Framework is committed to computational reproducibility. All prototype source code (47 Python files, ~2,800 LOC) is available at https://github.com/nullc0d30/AnubisXFramework under the MIT license. The 31 Egyptian Twitter account JSON files are included in the repository. Experiment scripts produce raw JSON output that is used as ground truth for all reported metrics.</w:t>
      </w:r>
    </w:p>
    <w:p>
      <w:r>
        <w:rPr>
          <w:rFonts w:ascii="Times New Roman" w:hAnsi="Times New Roman"/>
          <w:b w:val="0"/>
          <w:i w:val="0"/>
          <w:sz w:val="24"/>
        </w:rPr>
        <w:t>Key reproducibility requirements: Python 3.10+, FAISS (cpu variant), sentence-transformers (paraphrase-multilingual-MiniLM-L12-v2), NumPy, scikit-learn, pandas. The non-deterministic Python hash() issue (Section 9.4) is a known limitation that affects full reproducibility of character n-gram features; SHA-256-based replacement is prioritized in future work.</w:t>
      </w:r>
    </w:p>
    <w:p>
      <w:r>
        <w:rPr>
          <w:rFonts w:ascii="Times New Roman" w:hAnsi="Times New Roman"/>
          <w:b w:val="0"/>
          <w:i w:val="0"/>
          <w:sz w:val="24"/>
        </w:rPr>
        <w:t>Framework documentation — including theoretical foundations, mathematical specifications, algorithm details, and validation infrastructure — is available in the same repository. The formal experiment catalog (38 experiments) and benchmark suite (24 benchmarks) are specified with sufficient detail for independent execution.</w:t>
      </w:r>
    </w:p>
    <w:p>
      <w:pPr>
        <w:pStyle w:val="Heading1"/>
      </w:pPr>
      <w:r>
        <w:rPr>
          <w:rFonts w:ascii="Times New Roman" w:hAnsi="Times New Roman"/>
          <w:color w:val="000000"/>
        </w:rPr>
        <w:t>18. Conclusion</w:t>
      </w:r>
    </w:p>
    <w:p>
      <w:r>
        <w:rPr>
          <w:rFonts w:ascii="Times New Roman" w:hAnsi="Times New Roman"/>
          <w:b w:val="0"/>
          <w:i w:val="0"/>
          <w:sz w:val="24"/>
        </w:rPr>
        <w:t>This paper has presented the AnubisX Framework v2.0 Journal Revision — a scientific methodology for behavioral digital identity attribution. The framework integrates a formal theoretical foundation (16 axioms, 20 research hypotheses, 18 design principles), a mathematical framework (292 objects across 24 categories), an algorithmic catalog (37 algorithms across 9 domains), a six-layer architecture with a six-stage pipeline supporting three attribution workflows, and a multi-tier validation infrastructure (38 experiments, 24 benchmarks, 33 acceptance criteria).</w:t>
      </w:r>
    </w:p>
    <w:p>
      <w:r>
        <w:rPr>
          <w:rFonts w:ascii="Times New Roman" w:hAnsi="Times New Roman"/>
          <w:b w:val="0"/>
          <w:i w:val="0"/>
          <w:sz w:val="24"/>
        </w:rPr>
        <w:t>The prototype implementation, Anubis Twitter v2.5, demonstrates the practical feasibility of the stylometric modality for Arabic Twitter data through fifteen reproducible experiments on 31 Egyptian Twitter accounts. Key results include consistent 372-dimensional fingerprint extraction, FAISS-based search at 6–8 µs per query, and cross-user similarity distributions with mean 0.697 (σ = 0.105) from raw experimental data. Six of ten core claims achieve publication-ready validation status.</w:t>
      </w:r>
    </w:p>
    <w:p>
      <w:r>
        <w:rPr>
          <w:rFonts w:ascii="Times New Roman" w:hAnsi="Times New Roman"/>
          <w:b w:val="0"/>
          <w:i w:val="0"/>
          <w:sz w:val="24"/>
        </w:rPr>
        <w:t>The framework transparently documents its limitations: the formal experiment catalog remains unexecuted, the prototype is limited to a single modality (stylometric) on a single platform (Twitter) in a single language (Arabic), two critical algorithms (ALG-012, ALG-023) are pending specification completion, and the prototype has significant implementation gaps (42% theory-implementation coverage). The framework is presented as a foundation for systematic research in behavioral digital attribution, not as a validated operational system.</w:t>
      </w:r>
    </w:p>
    <w:p>
      <w:r>
        <w:rPr>
          <w:rFonts w:ascii="Times New Roman" w:hAnsi="Times New Roman"/>
          <w:b w:val="0"/>
          <w:i w:val="0"/>
          <w:sz w:val="24"/>
        </w:rPr>
        <w:t>The framework is released as open source under CC BY 4.0 with complete documentation, reproducibility protocols, and transparent limitation disclosure [10][42]. The author invites independent validation, critical scrutiny, and collaborative development toward establishing behavioral digital attribution as a reliable and reproducible scientific discipline.</w:t>
      </w:r>
    </w:p>
    <w:p>
      <w:pPr>
        <w:pStyle w:val="Heading1"/>
      </w:pPr>
      <w:r>
        <w:rPr>
          <w:rFonts w:ascii="Times New Roman" w:hAnsi="Times New Roman"/>
          <w:color w:val="000000"/>
        </w:rPr>
        <w:t>Acknowledgements</w:t>
      </w:r>
    </w:p>
    <w:p>
      <w:r>
        <w:rPr>
          <w:rFonts w:ascii="Times New Roman" w:hAnsi="Times New Roman"/>
          <w:b w:val="0"/>
          <w:i w:val="0"/>
          <w:sz w:val="24"/>
        </w:rPr>
        <w:t>The author, Ahmed Awad (NullC0d3), acknowledges the 31 Egyptian Twitter users whose publicly available data was used for prototype validation.</w:t>
      </w:r>
    </w:p>
    <w:p>
      <w:r>
        <w:rPr>
          <w:rFonts w:ascii="Times New Roman" w:hAnsi="Times New Roman"/>
          <w:b w:val="0"/>
          <w:i w:val="0"/>
          <w:sz w:val="24"/>
        </w:rPr>
        <w:t>The following open-source libraries enabled the prototype implementation: FAISS (Facebook AI Similarity Search) [42], HuggingFace Transformers [46], Sentence-Transformers [26], NumPy, scikit-learn, pandas, Matplotlib, Seaborn, and tqdm.</w:t>
      </w:r>
    </w:p>
    <w:p>
      <w:r>
        <w:rPr>
          <w:rFonts w:ascii="Times New Roman" w:hAnsi="Times New Roman"/>
          <w:b w:val="0"/>
          <w:i w:val="0"/>
          <w:sz w:val="24"/>
        </w:rPr>
        <w:t>The reference work "You Can Hide Your Name... Not Your Mind" provided the original conceptual inspiration for this formalization.</w:t>
      </w:r>
    </w:p>
    <w:p>
      <w:pPr>
        <w:pStyle w:val="Heading1"/>
      </w:pPr>
      <w:r>
        <w:rPr>
          <w:rFonts w:ascii="Times New Roman" w:hAnsi="Times New Roman"/>
          <w:color w:val="000000"/>
        </w:rPr>
        <w:t>Data Availability</w:t>
      </w:r>
    </w:p>
    <w:p>
      <w:r>
        <w:rPr>
          <w:rFonts w:ascii="Times New Roman" w:hAnsi="Times New Roman"/>
          <w:b w:val="0"/>
          <w:i w:val="0"/>
          <w:sz w:val="24"/>
        </w:rPr>
        <w:t>The 31 Egyptian Twitter account JSON files used for prototype validation are included in the repository at https://github.com/nullc0d30/AnubisXFramework. These contain publicly available tweet data only. No private messages, deleted content, or non-public information is included. The dataset is provided to enable independent verification and reproducibility testing.</w:t>
      </w:r>
    </w:p>
    <w:p>
      <w:pPr>
        <w:pStyle w:val="Heading1"/>
      </w:pPr>
      <w:r>
        <w:rPr>
          <w:rFonts w:ascii="Times New Roman" w:hAnsi="Times New Roman"/>
          <w:color w:val="000000"/>
        </w:rPr>
        <w:t>Code Availability</w:t>
      </w:r>
    </w:p>
    <w:p>
      <w:r>
        <w:rPr>
          <w:rFonts w:ascii="Times New Roman" w:hAnsi="Times New Roman"/>
          <w:b w:val="0"/>
          <w:i w:val="0"/>
          <w:sz w:val="24"/>
        </w:rPr>
        <w:t>The complete prototype source code (47 Python files, approximately 2,800 lines of code) is available at https://github.com/nullc0d30/AnubisXFramework. The code is released under the MIT license. Framework documentation, including theoretical foundations, mathematical specifications, algorithm details, and validation infrastructure, is available in the same repository.</w:t>
      </w:r>
    </w:p>
    <w:p>
      <w:pPr>
        <w:pStyle w:val="Heading1"/>
      </w:pPr>
      <w:r>
        <w:rPr>
          <w:rFonts w:ascii="Times New Roman" w:hAnsi="Times New Roman"/>
          <w:color w:val="000000"/>
        </w:rPr>
        <w:t>Ethics Statement</w:t>
      </w:r>
    </w:p>
    <w:p>
      <w:r>
        <w:rPr>
          <w:rFonts w:ascii="Times New Roman" w:hAnsi="Times New Roman"/>
          <w:b w:val="0"/>
          <w:i w:val="0"/>
          <w:sz w:val="24"/>
        </w:rPr>
        <w:t>This research was conducted using only publicly available Twitter data in compliance with Twitter's Terms of Service at the time of collection. No private messages, deleted content, or non-public information was accessed. The research did not involve interaction with human subjects or collection of personally identifiable information beyond what is publicly available on the Twitter platform.</w:t>
      </w:r>
    </w:p>
    <w:p>
      <w:r>
        <w:rPr>
          <w:rFonts w:ascii="Times New Roman" w:hAnsi="Times New Roman"/>
          <w:b w:val="0"/>
          <w:i w:val="0"/>
          <w:sz w:val="24"/>
        </w:rPr>
        <w:t>The author acknowledges the dual-use potential of behavioral attribution technology. While the framework is intended for legitimate security, forensic, and intelligence applications, the same methodology could potentially be used for unauthorized surveillance or behavioral profiling. The author strongly advocates for responsible use within established legal and ethical frameworks, including appropriate oversight, transparency, and respect for privacy rights. The framework is released as open source to enable public scrutiny and accountability.</w:t>
      </w:r>
    </w:p>
    <w:p>
      <w:pPr>
        <w:pStyle w:val="Heading1"/>
      </w:pPr>
      <w:r>
        <w:rPr>
          <w:rFonts w:ascii="Times New Roman" w:hAnsi="Times New Roman"/>
          <w:color w:val="000000"/>
        </w:rPr>
        <w:t>Conflict of Interest</w:t>
      </w:r>
    </w:p>
    <w:p>
      <w:r>
        <w:rPr>
          <w:rFonts w:ascii="Times New Roman" w:hAnsi="Times New Roman"/>
          <w:b w:val="0"/>
          <w:i w:val="0"/>
          <w:sz w:val="24"/>
        </w:rPr>
        <w:t>The author declares no competing interests. This research was conducted independently without external funding or institutional sponsorship.</w:t>
      </w:r>
    </w:p>
    <w:p>
      <w:pPr>
        <w:pStyle w:val="Heading1"/>
      </w:pPr>
      <w:r>
        <w:rPr>
          <w:rFonts w:ascii="Times New Roman" w:hAnsi="Times New Roman"/>
          <w:color w:val="000000"/>
        </w:rPr>
        <w:t>References</w:t>
      </w:r>
    </w:p>
    <w:p>
      <w:pPr>
        <w:spacing w:after="40"/>
        <w:ind w:left="720" w:hanging="720"/>
      </w:pPr>
      <w:r>
        <w:rPr>
          <w:rFonts w:ascii="Times New Roman" w:hAnsi="Times New Roman"/>
          <w:sz w:val="18"/>
        </w:rPr>
        <w:t>[1] Prasad, N., Diro, A., Warren, M., &amp; Fernando, M. (2025). A survey of cyber threat attribution: Challenges, techniques, and future directions. Computers &amp; Security, 157, 104606. https://doi.org/10.1016/j.cose.2025.104606</w:t>
      </w:r>
    </w:p>
    <w:p>
      <w:pPr>
        <w:spacing w:after="40"/>
        <w:ind w:left="720" w:hanging="720"/>
      </w:pPr>
      <w:r>
        <w:rPr>
          <w:rFonts w:ascii="Times New Roman" w:hAnsi="Times New Roman"/>
          <w:sz w:val="18"/>
        </w:rPr>
        <w:t>[2] Nespoli, P., Papamartzivanos, D., Mármol, F. G., &amp; Kambourakis, G. (2023). Cyber threat intelligence mining for proactive cybersecurity defense: A survey and new perspectives. IEEE Communications Surveys &amp; Tutorials, 25(4), 2270–2309. https://doi.org/10.1109/COMST.2023.3273282</w:t>
      </w:r>
    </w:p>
    <w:p>
      <w:pPr>
        <w:spacing w:after="40"/>
        <w:ind w:left="720" w:hanging="720"/>
      </w:pPr>
      <w:r>
        <w:rPr>
          <w:rFonts w:ascii="Times New Roman" w:hAnsi="Times New Roman"/>
          <w:sz w:val="18"/>
        </w:rPr>
        <w:t>[3] Casey, E. (2011). Digital Evidence and Computer Crime: Forensic Science, Computers, and the Internet (3rd ed.). Academic Press.</w:t>
      </w:r>
    </w:p>
    <w:p>
      <w:pPr>
        <w:spacing w:after="40"/>
        <w:ind w:left="720" w:hanging="720"/>
      </w:pPr>
      <w:r>
        <w:rPr>
          <w:rFonts w:ascii="Times New Roman" w:hAnsi="Times New Roman"/>
          <w:sz w:val="18"/>
        </w:rPr>
        <w:t>[4] Edwards, M., Larson, K., Green, B., Rashid, A., &amp; Baron, A. (2021). Panning for gold: Automatically analyzing online social engineering attack surfaces. Computers &amp; Security, 100, 102089.</w:t>
      </w:r>
    </w:p>
    <w:p>
      <w:pPr>
        <w:spacing w:after="40"/>
        <w:ind w:left="720" w:hanging="720"/>
      </w:pPr>
      <w:r>
        <w:rPr>
          <w:rFonts w:ascii="Times New Roman" w:hAnsi="Times New Roman"/>
          <w:sz w:val="18"/>
        </w:rPr>
        <w:t>[5] Zeadally, S., Adi, E., Baig, Z., &amp; Khan, I. A. (2020). Harnessing artificial intelligence for cybersecurity. Computer, 53(4), 28–37.</w:t>
      </w:r>
    </w:p>
    <w:p>
      <w:pPr>
        <w:spacing w:after="40"/>
        <w:ind w:left="720" w:hanging="720"/>
      </w:pPr>
      <w:r>
        <w:rPr>
          <w:rFonts w:ascii="Times New Roman" w:hAnsi="Times New Roman"/>
          <w:sz w:val="18"/>
        </w:rPr>
        <w:t>[6] Eckersley, P. (2010). How unique is your web browser? In Privacy Enhancing Technologies (pp. 1–18). Springer. https://doi.org/10.1007/978-3-642-14527-8_1</w:t>
      </w:r>
    </w:p>
    <w:p>
      <w:pPr>
        <w:spacing w:after="40"/>
        <w:ind w:left="720" w:hanging="720"/>
      </w:pPr>
      <w:r>
        <w:rPr>
          <w:rFonts w:ascii="Times New Roman" w:hAnsi="Times New Roman"/>
          <w:sz w:val="18"/>
        </w:rPr>
        <w:t>[7] Al-Rubaie, M., &amp; Chang, J. M. (2019). Privacy-preserving machine learning: Threats and solutions. IEEE Security &amp; Privacy, 17(2), 38–49.</w:t>
      </w:r>
    </w:p>
    <w:p>
      <w:pPr>
        <w:spacing w:after="40"/>
        <w:ind w:left="720" w:hanging="720"/>
      </w:pPr>
      <w:r>
        <w:rPr>
          <w:rFonts w:ascii="Times New Roman" w:hAnsi="Times New Roman"/>
          <w:sz w:val="18"/>
        </w:rPr>
        <w:t>[8] Yampolskiy, R. V., &amp; Govindaraju, V. (2008). Behavioural biometrics: A survey and classification. International Journal of Biometrics, 1(1), 81–113.</w:t>
      </w:r>
    </w:p>
    <w:p>
      <w:pPr>
        <w:spacing w:after="40"/>
        <w:ind w:left="720" w:hanging="720"/>
      </w:pPr>
      <w:r>
        <w:rPr>
          <w:rFonts w:ascii="Times New Roman" w:hAnsi="Times New Roman"/>
          <w:sz w:val="18"/>
        </w:rPr>
        <w:t>[9] Pennebaker, J. W. (2011). The Secret Life of Pronouns: What Our Words Say About Us. Bloomsbury Press.</w:t>
      </w:r>
    </w:p>
    <w:p>
      <w:pPr>
        <w:spacing w:after="40"/>
        <w:ind w:left="720" w:hanging="720"/>
      </w:pPr>
      <w:r>
        <w:rPr>
          <w:rFonts w:ascii="Times New Roman" w:hAnsi="Times New Roman"/>
          <w:sz w:val="18"/>
        </w:rPr>
        <w:t>[10] Awad, A. (2026). AnubisX Framework — Theoretical Foundation. Repository documentation: Theory/Core_Theory.md, Theory/Behavioral_Attribution_Theory.md, Theory/Identity_Attribution_Theory.md.</w:t>
      </w:r>
    </w:p>
    <w:p>
      <w:pPr>
        <w:spacing w:after="40"/>
        <w:ind w:left="720" w:hanging="720"/>
      </w:pPr>
      <w:r>
        <w:rPr>
          <w:rFonts w:ascii="Times New Roman" w:hAnsi="Times New Roman"/>
          <w:sz w:val="18"/>
        </w:rPr>
        <w:t>[11] Awad, A. (2026). AnubisX Framework — Axiomatic System. Repository documentation: Axioms/Core_Axioms.md.</w:t>
      </w:r>
    </w:p>
    <w:p>
      <w:pPr>
        <w:spacing w:after="40"/>
        <w:ind w:left="720" w:hanging="720"/>
      </w:pPr>
      <w:r>
        <w:rPr>
          <w:rFonts w:ascii="Times New Roman" w:hAnsi="Times New Roman"/>
          <w:sz w:val="18"/>
        </w:rPr>
        <w:t>[12] Awad, A. (2026). AnubisX Framework — Research Hypotheses and Design Principles. Repository documentation: Hypotheses/, Design_Principles/.</w:t>
      </w:r>
    </w:p>
    <w:p>
      <w:pPr>
        <w:spacing w:after="40"/>
        <w:ind w:left="720" w:hanging="720"/>
      </w:pPr>
      <w:r>
        <w:rPr>
          <w:rFonts w:ascii="Times New Roman" w:hAnsi="Times New Roman"/>
          <w:sz w:val="18"/>
        </w:rPr>
        <w:t>[13] Awad, A. (2026). AnubisX Framework — Mathematical Framework. Repository documentation: Mathematics/Mathematical_Foundation.md, Mathematics/Notation_Guide.md.</w:t>
      </w:r>
    </w:p>
    <w:p>
      <w:pPr>
        <w:spacing w:after="40"/>
        <w:ind w:left="720" w:hanging="720"/>
      </w:pPr>
      <w:r>
        <w:rPr>
          <w:rFonts w:ascii="Times New Roman" w:hAnsi="Times New Roman"/>
          <w:sz w:val="18"/>
        </w:rPr>
        <w:t>[14] Awad, A. (2026). AnubisX Framework — Algorithm Catalog. Repository documentation: Algorithms/Algorithm_Catalog.md.</w:t>
      </w:r>
    </w:p>
    <w:p>
      <w:pPr>
        <w:spacing w:after="40"/>
        <w:ind w:left="720" w:hanging="720"/>
      </w:pPr>
      <w:r>
        <w:rPr>
          <w:rFonts w:ascii="Times New Roman" w:hAnsi="Times New Roman"/>
          <w:sz w:val="18"/>
        </w:rPr>
        <w:t>[15] Awad, A. (2026). AnubisX Framework — Architecture. Repository documentation: Framework/Framework_Architecture.md.</w:t>
      </w:r>
    </w:p>
    <w:p>
      <w:pPr>
        <w:spacing w:after="40"/>
        <w:ind w:left="720" w:hanging="720"/>
      </w:pPr>
      <w:r>
        <w:rPr>
          <w:rFonts w:ascii="Times New Roman" w:hAnsi="Times New Roman"/>
          <w:sz w:val="18"/>
        </w:rPr>
        <w:t>[16] Awad, A. (2026). AnubisX Framework — Validation Infrastructure. Repository documentation: Validation/Validation_Framework.md.</w:t>
      </w:r>
    </w:p>
    <w:p>
      <w:pPr>
        <w:spacing w:after="40"/>
        <w:ind w:left="720" w:hanging="720"/>
      </w:pPr>
      <w:r>
        <w:rPr>
          <w:rFonts w:ascii="Times New Roman" w:hAnsi="Times New Roman"/>
          <w:sz w:val="18"/>
        </w:rPr>
        <w:t>[17] Awad, A. (2026). AnubisX Framework — Prototype Implementation. Repository documentation: Public/Whitepaper/Prototype.md, Anubis Twitter/ source code.</w:t>
      </w:r>
    </w:p>
    <w:p>
      <w:pPr>
        <w:spacing w:after="40"/>
        <w:ind w:left="720" w:hanging="720"/>
      </w:pPr>
      <w:r>
        <w:rPr>
          <w:rFonts w:ascii="Times New Roman" w:hAnsi="Times New Roman"/>
          <w:sz w:val="18"/>
        </w:rPr>
        <w:t>[18] Awad, A. (2026). AnubisX Framework — Experimental Results. Repository documentation: Anubis Twitter/reports/experimental_results/ (EXP-001 through EXP-015 JSON files).</w:t>
      </w:r>
    </w:p>
    <w:p>
      <w:pPr>
        <w:spacing w:after="40"/>
        <w:ind w:left="720" w:hanging="720"/>
      </w:pPr>
      <w:r>
        <w:rPr>
          <w:rFonts w:ascii="Times New Roman" w:hAnsi="Times New Roman"/>
          <w:sz w:val="18"/>
        </w:rPr>
        <w:t>[19] Mosteller, F., &amp; Wallace, D. L. (1964). Inference and Disputed Authorship: The Federalist. Addison-Wesley.</w:t>
      </w:r>
    </w:p>
    <w:p>
      <w:pPr>
        <w:spacing w:after="40"/>
        <w:ind w:left="720" w:hanging="720"/>
      </w:pPr>
      <w:r>
        <w:rPr>
          <w:rFonts w:ascii="Times New Roman" w:hAnsi="Times New Roman"/>
          <w:sz w:val="18"/>
        </w:rPr>
        <w:t>[20] Stamatatos, E. (2009). A survey of modern authorship attribution methods. Journal of the American Society for Information Science and Technology, 60(3), 538–556. https://doi.org/10.1002/asi.21001</w:t>
      </w:r>
    </w:p>
    <w:p>
      <w:pPr>
        <w:spacing w:after="40"/>
        <w:ind w:left="720" w:hanging="720"/>
      </w:pPr>
      <w:r>
        <w:rPr>
          <w:rFonts w:ascii="Times New Roman" w:hAnsi="Times New Roman"/>
          <w:sz w:val="18"/>
        </w:rPr>
        <w:t>[21] Koppel, M., Schler, J., &amp; Argamon, S. (2009). Computational methods in authorship attribution. Journal of the American Society for Information Science and Technology, 60(1), 9–26.</w:t>
      </w:r>
    </w:p>
    <w:p>
      <w:pPr>
        <w:spacing w:after="40"/>
        <w:ind w:left="720" w:hanging="720"/>
      </w:pPr>
      <w:r>
        <w:rPr>
          <w:rFonts w:ascii="Times New Roman" w:hAnsi="Times New Roman"/>
          <w:sz w:val="18"/>
        </w:rPr>
        <w:t>[22] Stamatatos, E., Kredens, K., Pezik, P., Heini, A., Bevendorff, J., Stein, B., &amp; Potthast, M. (2023). Overview of the Authorship Verification Task at PAN 2023. In CLEF 2023 Labs and Workshops, Notebook Papers. CEUR-WS.org.</w:t>
      </w:r>
    </w:p>
    <w:p>
      <w:pPr>
        <w:spacing w:after="40"/>
        <w:ind w:left="720" w:hanging="720"/>
      </w:pPr>
      <w:r>
        <w:rPr>
          <w:rFonts w:ascii="Times New Roman" w:hAnsi="Times New Roman"/>
          <w:sz w:val="18"/>
        </w:rPr>
        <w:t>[23] Bevendorff, J., Borrego-Obrador, I., Chinea-Ríos, M., Franco-Salvador, M., et al. (2023). Overview of PAN 2023: Authorship Verification, Multi-Author Writing Style Analysis, Profiling Cryptocurrency Influencers, and Trigger Detection. In Lecture Notes in Computer Science, 14163. Springer.</w:t>
      </w:r>
    </w:p>
    <w:p>
      <w:pPr>
        <w:spacing w:after="40"/>
        <w:ind w:left="720" w:hanging="720"/>
      </w:pPr>
      <w:r>
        <w:rPr>
          <w:rFonts w:ascii="Times New Roman" w:hAnsi="Times New Roman"/>
          <w:sz w:val="18"/>
        </w:rPr>
        <w:t>[24] Bevendorff, J., Wiegmann, M., Karlgren, J., Dürlich, L., et al. (2024). Overview of the "Voight-Kampff" Generative AI Authorship Verification Task at PAN and ELOQUENT 2024. In Working Notes of CLEF 2024. CEUR-WS.org.</w:t>
      </w:r>
    </w:p>
    <w:p>
      <w:pPr>
        <w:spacing w:after="40"/>
        <w:ind w:left="720" w:hanging="720"/>
      </w:pPr>
      <w:r>
        <w:rPr>
          <w:rFonts w:ascii="Times New Roman" w:hAnsi="Times New Roman"/>
          <w:sz w:val="18"/>
        </w:rPr>
        <w:t>[25] Bevendorff, J., Wiegmann, M., Richter, E., Potthast, M., &amp; Stein, B. (2025). The two paradigms of LLM detection: Authorship attribution vs. authorship verification. In Findings of ACL 2025 (pp. 3762–3787). Association for Computational Linguistics.</w:t>
      </w:r>
    </w:p>
    <w:p>
      <w:pPr>
        <w:spacing w:after="40"/>
        <w:ind w:left="720" w:hanging="720"/>
      </w:pPr>
      <w:r>
        <w:rPr>
          <w:rFonts w:ascii="Times New Roman" w:hAnsi="Times New Roman"/>
          <w:sz w:val="18"/>
        </w:rPr>
        <w:t>[26] Reimers, N., &amp; Gurevych, I. (2019). Sentence-BERT: Sentence embeddings using Siamese BERT-networks. In Proceedings of EMNLP-IJCNLP 2019 (pp. 3982–3992). Association for Computational Linguistics. https://doi.org/10.18653/v1/D19-1410</w:t>
      </w:r>
    </w:p>
    <w:p>
      <w:pPr>
        <w:spacing w:after="40"/>
        <w:ind w:left="720" w:hanging="720"/>
      </w:pPr>
      <w:r>
        <w:rPr>
          <w:rFonts w:ascii="Times New Roman" w:hAnsi="Times New Roman"/>
          <w:sz w:val="18"/>
        </w:rPr>
        <w:t>[27] Alali, M., &amp; Mohd, M. (2023). A transformer-based approach to authorship attribution in classical Arabic texts. Applied Sciences, 13(12), 7255. https://doi.org/10.3390/app13127255</w:t>
      </w:r>
    </w:p>
    <w:p>
      <w:pPr>
        <w:spacing w:after="40"/>
        <w:ind w:left="720" w:hanging="720"/>
      </w:pPr>
      <w:r>
        <w:rPr>
          <w:rFonts w:ascii="Times New Roman" w:hAnsi="Times New Roman"/>
          <w:sz w:val="18"/>
        </w:rPr>
        <w:t>[28] Abudalfa, S., Ezzini, S., Abdelali, A., Alami, H., et al. (2025). The AraGenEval shared task on Arabic authorship style transfer and AI generated text detection. In Proceedings of ArabicNLP 2025. Association for Computational Linguistics.</w:t>
      </w:r>
    </w:p>
    <w:p>
      <w:pPr>
        <w:spacing w:after="40"/>
        <w:ind w:left="720" w:hanging="720"/>
      </w:pPr>
      <w:r>
        <w:rPr>
          <w:rFonts w:ascii="Times New Roman" w:hAnsi="Times New Roman"/>
          <w:sz w:val="18"/>
        </w:rPr>
        <w:t>[29] Alsuhaibani, S., &amp; Alkaoud, M. (2026). Uslub at AbjadAuthorID shared task: A comparative analysis of traditional machine learning and transformer-based models for authorship attribution in Arabic and Urdu. In Proceedings of AbjadNLP 2026 (pp. 515–519). Association for Computational Linguistics.</w:t>
      </w:r>
    </w:p>
    <w:p>
      <w:pPr>
        <w:spacing w:after="40"/>
        <w:ind w:left="720" w:hanging="720"/>
      </w:pPr>
      <w:r>
        <w:rPr>
          <w:rFonts w:ascii="Times New Roman" w:hAnsi="Times New Roman"/>
          <w:sz w:val="18"/>
        </w:rPr>
        <w:t>[30] Coulthard, M., Johnson, A., &amp; Wright, D. (2017). An Introduction to Forensic Linguistics: Language in Evidence (2nd ed.). Routledge.</w:t>
      </w:r>
    </w:p>
    <w:p>
      <w:pPr>
        <w:spacing w:after="40"/>
        <w:ind w:left="720" w:hanging="720"/>
      </w:pPr>
      <w:r>
        <w:rPr>
          <w:rFonts w:ascii="Times New Roman" w:hAnsi="Times New Roman"/>
          <w:sz w:val="18"/>
        </w:rPr>
        <w:t>[31] Chaski, C. E. (2005). Who's at the keyboard? Authorship attribution in digital evidence investigations. International Journal of Digital Evidence, 4(1), 1–13.</w:t>
      </w:r>
    </w:p>
    <w:p>
      <w:pPr>
        <w:spacing w:after="40"/>
        <w:ind w:left="720" w:hanging="720"/>
      </w:pPr>
      <w:r>
        <w:rPr>
          <w:rFonts w:ascii="Times New Roman" w:hAnsi="Times New Roman"/>
          <w:sz w:val="18"/>
        </w:rPr>
        <w:t>[32] Abbasi, A., &amp; Chen, H. (2008). Writeprints: A stylometric approach to identity-level identification and similarity detection in cyberspace. ACM Transactions on Information Systems, 26(2), 1–29.</w:t>
      </w:r>
    </w:p>
    <w:p>
      <w:pPr>
        <w:spacing w:after="40"/>
        <w:ind w:left="720" w:hanging="720"/>
      </w:pPr>
      <w:r>
        <w:rPr>
          <w:rFonts w:ascii="Times New Roman" w:hAnsi="Times New Roman"/>
          <w:sz w:val="18"/>
        </w:rPr>
        <w:t>[33] Carrier, B. (2005). File System Forensic Analysis. Addison-Wesley.</w:t>
      </w:r>
    </w:p>
    <w:p>
      <w:pPr>
        <w:spacing w:after="40"/>
        <w:ind w:left="720" w:hanging="720"/>
      </w:pPr>
      <w:r>
        <w:rPr>
          <w:rFonts w:ascii="Times New Roman" w:hAnsi="Times New Roman"/>
          <w:sz w:val="18"/>
        </w:rPr>
        <w:t>[34] Tounsi, W., &amp; Rais, H. (2018). A survey on technical threat intelligence in the age of sophisticated cyber attacks. Computers &amp; Security, 72, 212–233.</w:t>
      </w:r>
    </w:p>
    <w:p>
      <w:pPr>
        <w:spacing w:after="40"/>
        <w:ind w:left="720" w:hanging="720"/>
      </w:pPr>
      <w:r>
        <w:rPr>
          <w:rFonts w:ascii="Times New Roman" w:hAnsi="Times New Roman"/>
          <w:sz w:val="18"/>
        </w:rPr>
        <w:t>[35] Solar, S., et al. (2023). Cyber threat intelligence mining for proactive cybersecurity defense: A survey and new perspectives. IEEE Communications Surveys &amp; Tutorials, 25(4), 2270–2309.</w:t>
      </w:r>
    </w:p>
    <w:p>
      <w:pPr>
        <w:spacing w:after="40"/>
        <w:ind w:left="720" w:hanging="720"/>
      </w:pPr>
      <w:r>
        <w:rPr>
          <w:rFonts w:ascii="Times New Roman" w:hAnsi="Times New Roman"/>
          <w:sz w:val="18"/>
        </w:rPr>
        <w:t>[36] Guru, K., Moss, R. J., &amp; Kochenderfer, M. J. (2025). On technique identification and threat-actor attribution using LLMs and embedding models. arXiv:2505.11547.</w:t>
      </w:r>
    </w:p>
    <w:p>
      <w:pPr>
        <w:spacing w:after="40"/>
        <w:ind w:left="720" w:hanging="720"/>
      </w:pPr>
      <w:r>
        <w:rPr>
          <w:rFonts w:ascii="Times New Roman" w:hAnsi="Times New Roman"/>
          <w:sz w:val="18"/>
        </w:rPr>
        <w:t>[37] Irshad, E., &amp; Siddiqui, A. B. (2023). Cyber threat attribution using unstructured reports in cyber threat intelligence. Egyptian Informatics Journal, 24(1), 43–59.</w:t>
      </w:r>
    </w:p>
    <w:p>
      <w:pPr>
        <w:spacing w:after="40"/>
        <w:ind w:left="720" w:hanging="720"/>
      </w:pPr>
      <w:r>
        <w:rPr>
          <w:rFonts w:ascii="Times New Roman" w:hAnsi="Times New Roman"/>
          <w:sz w:val="18"/>
        </w:rPr>
        <w:t>[38] Yampolskiy, R. V. (2008). Behavioral biometrics: A survey and classification. International Journal of Biometrics, 1(1), 81–113.</w:t>
      </w:r>
    </w:p>
    <w:p>
      <w:pPr>
        <w:spacing w:after="40"/>
        <w:ind w:left="720" w:hanging="720"/>
      </w:pPr>
      <w:r>
        <w:rPr>
          <w:rFonts w:ascii="Times New Roman" w:hAnsi="Times New Roman"/>
          <w:sz w:val="18"/>
        </w:rPr>
        <w:t>[39] Khan, S., Devlen, C., Manno, M., &amp; Hou, D. (2024). Mouse dynamics behavioral biometrics: A survey. ACM Computing Surveys, 56(6), 1–33. https://doi.org/10.1145/3640311</w:t>
      </w:r>
    </w:p>
    <w:p>
      <w:pPr>
        <w:spacing w:after="40"/>
        <w:ind w:left="720" w:hanging="720"/>
      </w:pPr>
      <w:r>
        <w:rPr>
          <w:rFonts w:ascii="Times New Roman" w:hAnsi="Times New Roman"/>
          <w:sz w:val="18"/>
        </w:rPr>
        <w:t>[40] Shadman, R., Anu Wahab, A., Manno, M., Lukaszewski, M., Hou, D., &amp; Hussain, F. (2023). Keystroke dynamics: Concepts, techniques, and applications. arXiv:2303.04605.</w:t>
      </w:r>
    </w:p>
    <w:p>
      <w:pPr>
        <w:spacing w:after="40"/>
        <w:ind w:left="720" w:hanging="720"/>
      </w:pPr>
      <w:r>
        <w:rPr>
          <w:rFonts w:ascii="Times New Roman" w:hAnsi="Times New Roman"/>
          <w:sz w:val="18"/>
        </w:rPr>
        <w:t>[41] Roemling, D. (2025). Forensic authorship profiling using geolocated social media data: A corpus linguistic and cartographic approach. Applied Corpus Linguistics, 5(3), 100146.</w:t>
      </w:r>
    </w:p>
    <w:p>
      <w:pPr>
        <w:spacing w:after="40"/>
        <w:ind w:left="720" w:hanging="720"/>
      </w:pPr>
      <w:r>
        <w:rPr>
          <w:rFonts w:ascii="Times New Roman" w:hAnsi="Times New Roman"/>
          <w:sz w:val="18"/>
        </w:rPr>
        <w:t>[42] Johnson, J., Douze, M., &amp; Jégou, H. (2019). Billion-scale similarity search with GPUs. IEEE Transactions on Big Data, 7(3), 535–547.</w:t>
      </w:r>
    </w:p>
    <w:p>
      <w:pPr>
        <w:spacing w:after="40"/>
        <w:ind w:left="720" w:hanging="720"/>
      </w:pPr>
      <w:r>
        <w:rPr>
          <w:rFonts w:ascii="Times New Roman" w:hAnsi="Times New Roman"/>
          <w:sz w:val="18"/>
        </w:rPr>
        <w:t>[43] Douze, M., Guzhva, A., Deng, C., Johnson, J., et al. (2024). The Faiss library. arXiv:2401.08281.</w:t>
      </w:r>
    </w:p>
    <w:p>
      <w:pPr>
        <w:spacing w:after="40"/>
        <w:ind w:left="720" w:hanging="720"/>
      </w:pPr>
      <w:r>
        <w:rPr>
          <w:rFonts w:ascii="Times New Roman" w:hAnsi="Times New Roman"/>
          <w:sz w:val="18"/>
        </w:rPr>
        <w:t>[44] Luyckx, K., &amp; Daelemans, W. (2008). Authorship attribution and verification with many authors and limited data. In Proceedings of COLING 2008 (pp. 513–520).</w:t>
      </w:r>
    </w:p>
    <w:p>
      <w:pPr>
        <w:spacing w:after="40"/>
        <w:ind w:left="720" w:hanging="720"/>
      </w:pPr>
      <w:r>
        <w:rPr>
          <w:rFonts w:ascii="Times New Roman" w:hAnsi="Times New Roman"/>
          <w:sz w:val="18"/>
        </w:rPr>
        <w:t>[45] Aitken, C. G. G., &amp; Taroni, F. (2004). Statistics and the Evaluation of Evidence for Forensic Scientists (2nd ed.). Wiley.</w:t>
      </w:r>
    </w:p>
    <w:p>
      <w:pPr>
        <w:spacing w:after="40"/>
        <w:ind w:left="720" w:hanging="720"/>
      </w:pPr>
      <w:r>
        <w:rPr>
          <w:rFonts w:ascii="Times New Roman" w:hAnsi="Times New Roman"/>
          <w:sz w:val="18"/>
        </w:rPr>
        <w:t>[46] Wolf, T., Debut, L., Sanh, V., Chaumond, J., et al. (2020). HuggingFace's Transformers: State-of-the-art natural language processing. In Proceedings of EMNLP 2020 (pp. 38–45).</w:t>
      </w:r>
    </w:p>
    <w:p>
      <w:pPr>
        <w:spacing w:after="40"/>
        <w:ind w:left="720" w:hanging="720"/>
      </w:pPr>
      <w:r>
        <w:rPr>
          <w:rFonts w:ascii="Times New Roman" w:hAnsi="Times New Roman"/>
          <w:sz w:val="18"/>
        </w:rPr>
        <w:t>[47] Kestemont, M. (2014). Function words in authorship attribution: From black magic to theory? In Proceedings of the 2014 Workshop on Stylistic Variation (pp. 59–66). ACL.</w:t>
      </w:r>
    </w:p>
    <w:p>
      <w:pPr>
        <w:spacing w:after="40"/>
        <w:ind w:left="720" w:hanging="720"/>
      </w:pPr>
      <w:r>
        <w:rPr>
          <w:rFonts w:ascii="Times New Roman" w:hAnsi="Times New Roman"/>
          <w:sz w:val="18"/>
        </w:rPr>
        <w:t>[48] Argamon, S., Koppel, M., Pennebaker, J. W., &amp; Schler, J. (2009). Automatically profiling the author of an anonymous text. Communications of the ACM, 52(2), 119–123.</w:t>
      </w:r>
    </w:p>
    <w:p>
      <w:pPr>
        <w:spacing w:after="40"/>
        <w:ind w:left="720" w:hanging="720"/>
      </w:pPr>
      <w:r>
        <w:rPr>
          <w:rFonts w:ascii="Times New Roman" w:hAnsi="Times New Roman"/>
          <w:sz w:val="18"/>
        </w:rPr>
        <w:t>[49] Koppel, M., Schler, J., &amp; Argamon, S. (2011). Authorship attribution in the wild. Language Resources and Evaluation, 45(1), 83–94.</w:t>
      </w:r>
    </w:p>
    <w:p>
      <w:pPr>
        <w:spacing w:after="40"/>
        <w:ind w:left="720" w:hanging="720"/>
      </w:pPr>
      <w:r>
        <w:rPr>
          <w:rFonts w:ascii="Times New Roman" w:hAnsi="Times New Roman"/>
          <w:sz w:val="18"/>
        </w:rPr>
        <w:t>[50] He, X., Lashkari, A. H., Vombatkere, N., &amp; Sharma, D. P. (2024). Authorship attribution methods, challenges, and future research directions: A comprehensive survey. Information, 15(3), 131.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