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8" name="Picture 1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19" name="Picture 1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56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80" w:after="80"/>
        <w:jc w:val="center"/>
      </w:pPr>
      <w:r>
        <w:rPr>
          <w:rFonts w:ascii="Calibri" w:hAnsi="Calibri"/>
          <w:b/>
          <w:i/>
          <w:color w:val="1F2937"/>
          <w:sz w:val="23"/>
        </w:rPr>
        <w:t>U.A: Proyecto de Ingeniería Aplicada (IEA)</w:t>
        <w:br/>
      </w:r>
      <w:r>
        <w:rPr>
          <w:rFonts w:ascii="Calibri" w:hAnsi="Calibri"/>
          <w:b/>
          <w:i/>
          <w:color w:val="0F2C59"/>
          <w:sz w:val="24"/>
        </w:rPr>
        <w:t>AF 5: MARCO TEÓRICO (REPORTE MAESTRO DE INGENIERÍA)</w:t>
        <w:br/>
        <w:br/>
      </w:r>
      <w:r>
        <w:rPr>
          <w:rFonts w:ascii="Calibri" w:hAnsi="Calibri"/>
          <w:b/>
          <w:color w:val="0F2C59"/>
          <w:sz w:val="23"/>
        </w:rPr>
        <w:t>«MARCO TEÓRICO, FUNDAMENTOS CIENTÍFICO-MATEMÁTICOS, ESTADO DEL ARTE Y MODELACIÓN MECATRÓNICA DE UN MICRO-RESTAURANTE AUTOMATIZADO DESATENDIDO: SISTEMA VENDING IOT HÍBRIDO CLIMATIZADO (XPENDEX) PARA ALIMENTOS PREPARADOS FRESCOS DEL DÍA ($120 MXN) Y BEBIDAS REFRIGERADAS CON CONTROL MATRICIAL 6X6 EN EASYEDA PCB Y DESPACHO SECUENCIAL MULTI-RANURA FIFO»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after="80" w:line="300"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r>
      <w:r>
        <w:br w:type="page"/>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Solución Propuesta: Micro-Restaurante Híbrido XpendeX</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Antecedentes Directos del Proyecto 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A</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DESGLOSE TRIDIMENSIONAL EXHAUSTIVO DE PIEZAS (BOM) EN FUSION 360</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B</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PROTOCOLOS EXPERIMENTALES DE VALIDACIÓN Y PRUEBAS WOKWI</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55</w:t>
            </w:r>
          </w:p>
        </w:tc>
      </w:tr>
    </w:tbl>
    <w:p>
      <w:r>
        <w:br w:type="page"/>
      </w:r>
    </w:p>
    <w:p>
      <w:pPr>
        <w:keepNext/>
        <w:spacing w:before="320" w:after="80"/>
        <w:pBdr>
          <w:bottom w:val="single" w:sz="12" w:space="3" w:color="0F2C59"/>
        </w:pBdr>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DIAGNÓSTICO SITUACIONAL EN LA FIME UANL Y MONTERREY</w:t>
              <w:br/>
            </w:r>
            <w:r>
              <w:rPr>
                <w:rFonts w:ascii="Calibri" w:hAnsi="Calibri"/>
                <w:i/>
                <w:color w:val="1F2937"/>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pPr>
      <w:r>
        <w:rPr>
          <w:rFonts w:ascii="Calibri" w:hAnsi="Calibri"/>
          <w:b/>
          <w:color w:val="1E40AF"/>
          <w:sz w:val="24"/>
        </w:rPr>
        <w:t>1.1 Integrantes del Equipo de Ingeniería y Asignación de Responsabilidades</w:t>
      </w:r>
    </w:p>
    <w:p>
      <w:pPr>
        <w:spacing w:line="276" w:lineRule="auto" w:before="0" w:after="80"/>
        <w:jc w:val="both"/>
      </w:pPr>
      <w:r>
        <w:rPr>
          <w:rFonts w:ascii="Calibri" w:hAnsi="Calibri"/>
          <w:b/>
          <w:color w:val="1F2937"/>
          <w:sz w:val="20"/>
        </w:rPr>
        <w:t xml:space="preserve">Organización del Equipo de Ingeniería: </w:t>
      </w:r>
      <w:r>
        <w:rPr>
          <w:rFonts w:ascii="Calibri" w:hAnsi="Calibri"/>
          <w:color w:val="1F2937"/>
          <w:sz w:val="20"/>
        </w:rPr>
        <w:t>La investigación y desarrollo mecatrónico plasmado en este marco teórico fue ejecutado de manera coordinada por los dos estudiantes de la Coordinación de Ingeniería en Electrónica y Automatización (IEA), con una delimitación estricta de áreas de especialidad:</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Ingeniería Electrónica y Software</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de las páginas web duales: plataforma web del cliente (quiosco interactivo táctil de 10.1" con catálogo nutricional NOM-051, combos inteligentes y pasarela de cobro digital QR de Mercado Pago) y plataforma web del dueño (panel administrativo con telemetría y gestor multi-ranura con rotación FIFO); y simulación y diseño de electrónica de potencia y ruteo PCB en EasyEDA (matriz MOSFET 6×6, optoaislamiento PC817C, supresores Schottky 1N5822 y dimensionamiento térmico según IPC-2221B).</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por integrante.</w:t>
      </w:r>
    </w:p>
    <w:p>
      <w:pPr>
        <w:keepNext/>
        <w:spacing w:before="260" w:after="80"/>
        <w:pBdr>
          <w:bottom w:val="single" w:sz="6" w:space="2" w:color="1E40AF"/>
        </w:pBdr>
      </w:pPr>
      <w:r>
        <w:rPr>
          <w:rFonts w:ascii="Calibri" w:hAnsi="Calibri"/>
          <w:b/>
          <w:color w:val="1E40AF"/>
          <w:sz w:val="24"/>
        </w:rPr>
        <w:t>1.2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Micro-Restaurante XpendeX</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$120.00 MXN (Comida casera completa)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 a 40 segundos por transacción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 a 34 g (Guisado de res/pollo + leguminosas)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 (Perfil gastronómico casero)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en sitio (Turnos diurnos y nocturnos)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en entrega (Consolidación matutina 1 viaje)</w:t>
            </w:r>
          </w:p>
        </w:tc>
      </w:tr>
    </w:tbl>
    <w:p>
      <w:pPr>
        <w:keepNext/>
        <w:spacing w:before="260" w:after="80"/>
        <w:pBdr>
          <w:bottom w:val="single" w:sz="6" w:space="2" w:color="1E40AF"/>
        </w:pBdr>
      </w:pPr>
      <w:r>
        <w:rPr>
          <w:rFonts w:ascii="Calibri" w:hAnsi="Calibri"/>
          <w:b/>
          <w:color w:val="1E40AF"/>
          <w:sz w:val="24"/>
        </w:rPr>
        <w:t>1.3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jc w:val="both"/>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jc w:val="both"/>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jc w:val="both"/>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jc w:val="both"/>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jc w:val="both"/>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pPr>
      <w:r>
        <w:rPr>
          <w:rFonts w:ascii="Calibri" w:hAnsi="Calibri"/>
          <w:b/>
          <w:color w:val="1E40AF"/>
          <w:sz w:val="24"/>
        </w:rPr>
        <w:t>1.4 La Solución Propuesta: Micro-Restaurante Automatizado Desatendido XpendeX</w:t>
      </w:r>
    </w:p>
    <w:p>
      <w:pPr>
        <w:spacing w:line="276" w:lineRule="auto" w:before="0" w:after="80"/>
        <w:jc w:val="both"/>
      </w:pPr>
      <w:r>
        <w:rPr>
          <w:rFonts w:ascii="Calibri" w:hAnsi="Calibri"/>
          <w:color w:val="1F2937"/>
          <w:sz w:val="20"/>
        </w:rPr>
        <w:t>Para solucionar de raíz estos problemas, nuestro proyecto desarrolla la ingeniería de detalle y validación virtual de un «Micro-Restaurante Automatizado Desatendido XpendeX» (Proyecto 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pPr>
      <w:r>
        <w:rPr>
          <w:rFonts w:ascii="Calibri" w:hAnsi="Calibri"/>
          <w:b/>
          <w:color w:val="1E40AF"/>
          <w:sz w:val="24"/>
        </w:rPr>
        <w:t>2.2 Intentos Previos de Vending de Comida Caliente y Fresca</w:t>
      </w:r>
    </w:p>
    <w:p>
      <w:pPr>
        <w:spacing w:line="276" w:lineRule="auto" w:before="0" w:after="80"/>
        <w:jc w:val="both"/>
      </w:pPr>
      <w:r>
        <w:rPr>
          <w:rFonts w:ascii="Calibri" w:hAnsi="Calibri"/>
          <w:color w:val="1F2937"/>
          <w:sz w:val="20"/>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en XpendeX</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Electrónica 100% digital sin efectivo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de alta densidad (36 canales)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Bahías unificadas 190 mm con espiral Ø 144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FreeRTOS con bloqueo a las 14h</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2026 (XpendeX)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FIFO multi-ranura y cadena fría 2-4°C</w:t>
            </w:r>
          </w:p>
        </w:tc>
      </w:tr>
    </w:tbl>
    <w:p>
      <w:pPr>
        <w:keepNext/>
        <w:spacing w:before="260" w:after="80"/>
        <w:pBdr>
          <w:bottom w:val="single" w:sz="6" w:space="2" w:color="1E40AF"/>
        </w:pBdr>
      </w:pPr>
      <w:r>
        <w:rPr>
          <w:rFonts w:ascii="Calibri" w:hAnsi="Calibri"/>
          <w:b/>
          <w:color w:val="1E40AF"/>
          <w:sz w:val="24"/>
        </w:rPr>
        <w:t>2.3 Fundamentos del Desarrollo Mecatrónico del Proyecto XpendeX</w:t>
      </w:r>
    </w:p>
    <w:p>
      <w:pPr>
        <w:spacing w:line="276" w:lineRule="auto" w:before="0" w:after="80"/>
        <w:jc w:val="both"/>
      </w:pPr>
      <w:r>
        <w:rPr>
          <w:rFonts w:ascii="Calibri" w:hAnsi="Calibri"/>
          <w:color w:val="1F2937"/>
          <w:sz w:val="20"/>
        </w:rPr>
        <w:t>El proyecto 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pPr>
      <w:r>
        <w:rPr>
          <w:rFonts w:ascii="Calibri" w:hAnsi="Calibri"/>
          <w:b/>
          <w:color w:val="1E40AF"/>
          <w:sz w:val="24"/>
        </w:rPr>
        <w:t>3.1 Análisis Crítico de Familias Tecnológicas Existentes</w:t>
      </w:r>
    </w:p>
    <w:p>
      <w:pPr>
        <w:spacing w:line="276" w:lineRule="auto" w:before="0" w:after="80"/>
        <w:jc w:val="both"/>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jc w:val="both"/>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jc w:val="both"/>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jc w:val="both"/>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pPr>
      <w:r>
        <w:rPr>
          <w:rFonts w:ascii="Calibri" w:hAnsi="Calibri"/>
          <w:b/>
          <w:color w:val="1E40AF"/>
          <w:sz w:val="24"/>
        </w:rPr>
        <w:t>3.2 Matriz Técnica Multidimensional Comparativa</w:t>
      </w:r>
    </w:p>
    <w:p>
      <w:pPr>
        <w:spacing w:line="276" w:lineRule="auto" w:before="0" w:after="80"/>
        <w:jc w:val="both"/>
      </w:pPr>
      <w:r>
        <w:rPr>
          <w:rFonts w:ascii="Calibri" w:hAnsi="Calibri"/>
          <w:color w:val="1F2937"/>
          <w:sz w:val="20"/>
        </w:rPr>
        <w:t>La Tabla 3.1 sintetiza la comparativa cuantitativa entre las cuatro tecnologías comerciales descritas frente a la propuesta mecatrónica 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(PROPUESTA)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(60 comidas + 168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Económico ($39,940 MXN costo directo)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 tupper comercial estándar)</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Óptima (ΔT &lt; 1.1 °C con 6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Automático 14h en FreeRTOS + Hardware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(Bahías 190 mm + Espiral Ø 144 mm)</w:t>
            </w:r>
          </w:p>
        </w:tc>
      </w:tr>
    </w:tbl>
    <w:p>
      <w:pPr>
        <w:keepNext/>
        <w:spacing w:before="260" w:after="80"/>
        <w:pBdr>
          <w:bottom w:val="single" w:sz="6" w:space="2" w:color="1E40AF"/>
        </w:pBdr>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color w:val="1F2937"/>
          <w:sz w:val="20"/>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Correctiva Automatizada</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Alarma MQTT si T &gt; 5 °C; compresión forzada y bloqueo de venta preventiva.</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electrónico de ranura al expirar 14h; producto no despachable.</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mecánico forzado por gravedad tras la caída del platillo.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pPr>
      <w:r>
        <w:rPr>
          <w:rFonts w:ascii="Calibri" w:hAnsi="Calibri"/>
          <w:b/>
          <w:color w:val="0F2C59"/>
          <w:sz w:val="28"/>
        </w:rPr>
        <w:t>4.0 CONCEPTOS Y PRINCIPIOS FUNDAMENTALES</w:t>
      </w:r>
    </w:p>
    <w:p>
      <w:pPr>
        <w:spacing w:line="276" w:lineRule="auto" w:before="0" w:after="80"/>
        <w:jc w:val="both"/>
      </w:pPr>
      <w:r>
        <w:rPr>
          <w:rFonts w:ascii="Calibri" w:hAnsi="Calibri"/>
          <w:color w:val="1F2937"/>
          <w:sz w:val="20"/>
        </w:rPr>
        <w:t>Para fundamentar con absoluto rigor científico el diseño de nuestra máquina expendedora 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jc w:val="both"/>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jc w:val="both"/>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jc w:val="both"/>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jc w:val="both"/>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TERMODINÁMICA Y TRANSFERENCIA DE CALOR</w:t>
              <w:br/>
            </w:r>
            <w:r>
              <w:rPr>
                <w:rFonts w:ascii="Calibri" w:hAnsi="Calibri"/>
                <w:i/>
                <w:color w:val="1F2937"/>
                <w:sz w:val="19"/>
              </w:rPr>
              <w:t>Ecuaciones analíticas que gobiernan la conservación de la energía y los mecanismos de transporte térmico en el gabinete refrigerado:</w:t>
              <w:br/>
            </w:r>
          </w:p>
          <w:p>
            <w:pPr>
              <w:jc w:val="center"/>
              <w:keepLines/>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keepLines/>
              <w:spacing w:before="60" w:after="60"/>
            </w:pPr>
            <m:oMathPara>
              <m:oMath>
                <m:r>
                  <m:t>q=−k·</m:t>
                </m:r>
                <m:f>
                  <m:fPr>
                    <m:type m:val="bar"/>
                  </m:fPr>
                  <m:num>
                    <m:r>
                      <m:t>dT</m:t>
                    </m:r>
                  </m:num>
                  <m:den>
                    <m:r>
                      <m:t>dx</m:t>
                    </m:r>
                  </m:den>
                </m:f>
                <m:r>
                  <m:t>(</m:t>
                </m:r>
                <m:r>
                  <m:rPr>
                    <m:nor/>
                  </m:rPr>
                  <m:t>Ley de Fourier</m:t>
                </m:r>
                <m:r>
                  <m:t>)</m:t>
                </m:r>
              </m:oMath>
            </m:oMathPara>
          </w:p>
          <w:p>
            <w:pPr>
              <w:jc w:val="center"/>
              <w:keepLines/>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keepLines/>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keepLines/>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tc>
      </w:tr>
    </w:tbl>
    <w:p>
      <w:pPr>
        <w:spacing w:before="0" w:after="80"/>
      </w:pPr>
    </w:p>
    <w:p>
      <w:pPr>
        <w:keepNext/>
        <w:spacing w:before="260" w:after="80"/>
        <w:pBdr>
          <w:bottom w:val="single" w:sz="6" w:space="2" w:color="1E40AF"/>
        </w:pBdr>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PRINCIPIOS DE RESISTENCIA DE MATERIALES Y FLEXIÓN DE VIGAS</w:t>
              <w:br/>
            </w:r>
            <w:r>
              <w:rPr>
                <w:rFonts w:ascii="Calibri" w:hAnsi="Calibri"/>
                <w:i/>
                <w:color w:val="1F2937"/>
                <w:sz w:val="19"/>
              </w:rPr>
              <w:t>Ecuaciones de elasticidad y flexión de Euler-Bernoulli para estructuras portantes y bandejas de chapa plegada:</w:t>
              <w:br/>
            </w:r>
          </w:p>
          <w:p>
            <w:pPr>
              <w:jc w:val="center"/>
              <w:keepLines/>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keepLines/>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keepLines/>
              <w:spacing w:before="80" w:after="0" w:line="276" w:lineRule="auto"/>
            </w:pPr>
            <w:r>
              <w:rPr>
                <w:rFonts w:ascii="Calibri" w:hAnsi="Calibri"/>
                <w:b/>
                <w:color w:val="0F2C59"/>
                <w:sz w:val="19"/>
              </w:rPr>
              <w:t>Validación Teórica: La geometría de pestaña plegada en 'C' incrementa el momento de inercia evitando deflexiones mayores a 0.1 mm.</w:t>
            </w:r>
          </w:p>
        </w:tc>
      </w:tr>
    </w:tbl>
    <w:p>
      <w:pPr>
        <w:spacing w:before="0" w:after="80"/>
      </w:pPr>
    </w:p>
    <w:p>
      <w:pPr>
        <w:keepNext/>
        <w:spacing w:before="260" w:after="80"/>
        <w:pBdr>
          <w:bottom w:val="single" w:sz="6" w:space="2" w:color="1E40AF"/>
        </w:pBdr>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DINÁMICA DE EMPUJE HELICOIDAL Y FRICCIÓN DE COULOMB</w:t>
              <w:br/>
            </w:r>
            <w:r>
              <w:rPr>
                <w:rFonts w:ascii="Calibri" w:hAnsi="Calibri"/>
                <w:i/>
                <w:color w:val="1F2937"/>
                <w:sz w:val="19"/>
              </w:rPr>
              <w:t>Formulación de la fuerza de arrastre y par torsor dinámico requerido en el eje motriz:</w:t>
              <w:br/>
            </w:r>
          </w:p>
          <w:p>
            <w:pPr>
              <w:jc w:val="center"/>
              <w:keepLines/>
              <w:spacing w:before="60" w:after="60"/>
            </w:pPr>
            <m:oMathPara>
              <m:oMath>
                <m:sSub>
                  <m:e>
                    <m:r>
                      <m:t>F</m:t>
                    </m:r>
                  </m:e>
                  <m:sub>
                    <m:r>
                      <m:rPr>
                        <m:nor/>
                      </m:rPr>
                      <m:t>friccion</m:t>
                    </m:r>
                  </m:sub>
                </m:sSub>
                <m:r>
                  <m:t>=μ·</m:t>
                </m:r>
                <m:sSub>
                  <m:e>
                    <m:r>
                      <m:t>m</m:t>
                    </m:r>
                  </m:e>
                  <m:sub>
                    <m:r>
                      <m:rPr>
                        <m:nor/>
                      </m:rPr>
                      <m:t>tupper</m:t>
                    </m:r>
                  </m:sub>
                </m:sSub>
                <m:r>
                  <m:t>·g</m:t>
                </m:r>
              </m:oMath>
            </m:oMathPara>
          </w:p>
          <w:p>
            <w:pPr>
              <w:jc w:val="center"/>
              <w:keepLines/>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keepLines/>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keepLines/>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tc>
      </w:tr>
    </w:tbl>
    <w:p>
      <w:pPr>
        <w:spacing w:before="0" w:after="80"/>
      </w:pPr>
    </w:p>
    <w:p>
      <w:pPr>
        <w:keepNext/>
        <w:spacing w:before="260" w:after="80"/>
        <w:pBdr>
          <w:bottom w:val="single" w:sz="6" w:space="2" w:color="1E40AF"/>
        </w:pBdr>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jc w:val="both"/>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jc w:val="both"/>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76" w:lineRule="auto" w:before="0" w:after="80"/>
        <w:jc w:val="both"/>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76" w:lineRule="auto" w:before="0" w:after="80"/>
        <w:jc w:val="both"/>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ELECTRÓNICA DE POTENCIA INDUCTIVA</w:t>
              <w:br/>
            </w:r>
            <w:r>
              <w:rPr>
                <w:rFonts w:ascii="Calibri" w:hAnsi="Calibri"/>
                <w:i/>
                <w:color w:val="1F2937"/>
                <w:sz w:val="19"/>
              </w:rPr>
              <w:t>Ecuaciones de gobierno para la energía magnética residual, disipación de transitorios y aislamiento óptico:</w:t>
              <w:br/>
            </w:r>
          </w:p>
          <w:p>
            <w:pPr>
              <w:jc w:val="center"/>
              <w:keepLines/>
              <w:spacing w:before="60" w:after="60"/>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keepLines/>
              <w:spacing w:before="60" w:after="60"/>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keepLines/>
              <w:spacing w:before="60" w:after="60"/>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keepLines/>
              <w:spacing w:before="80" w:after="0" w:line="276" w:lineRule="auto"/>
            </w:pPr>
            <w:r>
              <w:rPr>
                <w:rFonts w:ascii="Calibri" w:hAnsi="Calibri"/>
                <w:b/>
                <w:color w:val="0F2C59"/>
                <w:sz w:val="19"/>
              </w:rPr>
              <w:t>Validación de Potencia: La conmutación matricial protegida con diodos flyback reduce la sobretensión a 0.7 V y confina el consumo en reposo a menos de 5 mA.</w:t>
            </w:r>
          </w:p>
        </w:tc>
      </w:tr>
    </w:tbl>
    <w:p>
      <w:pPr>
        <w:spacing w:before="0" w:after="80"/>
      </w:pPr>
    </w:p>
    <w:p>
      <w:pPr>
        <w:keepNext/>
        <w:spacing w:before="260" w:after="80"/>
        <w:pBdr>
          <w:bottom w:val="single" w:sz="6" w:space="2" w:color="1E40AF"/>
        </w:pBdr>
      </w:pPr>
      <w:r>
        <w:rPr>
          <w:rFonts w:ascii="Calibri" w:hAnsi="Calibri"/>
          <w:b/>
          <w:color w:val="1E40AF"/>
          <w:sz w:val="24"/>
        </w:rPr>
        <w:t>4.7 Principio de Despacho Secuencial Multi-Ranura (FIFO) y Asignación Dinámica de Actuadores</w:t>
      </w:r>
    </w:p>
    <w:p>
      <w:pPr>
        <w:spacing w:line="276" w:lineRule="auto" w:before="0" w:after="80"/>
        <w:jc w:val="both"/>
      </w:pPr>
      <w:r>
        <w:rPr>
          <w:rFonts w:ascii="Calibri" w:hAnsi="Calibri"/>
          <w:b/>
          <w:color w:val="1F2937"/>
          <w:sz w:val="20"/>
        </w:rPr>
        <w:t xml:space="preserve">Teoría de Colas de Inventario Dinámico Multi-Ranura: </w:t>
      </w:r>
      <w:r>
        <w:rPr>
          <w:rFonts w:ascii="Calibri" w:hAnsi="Calibri"/>
          <w:color w:val="1F2937"/>
          <w:sz w:val="20"/>
        </w:rPr>
        <w:t>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XpendeX permite mapear un mismo código de producto o identificador de SKU hacia un conjunto arbitrario de casillas físicas independientes:</w:t>
      </w:r>
    </w:p>
    <w:p>
      <w:pPr>
        <w:spacing w:line="276" w:lineRule="auto" w:before="0" w:after="8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MATEMÁTICA DEL MODELO MULTI-RANURA FIFO</w:t>
              <w:br/>
            </w:r>
            <w:r>
              <w:rPr>
                <w:rFonts w:ascii="Calibri" w:hAnsi="Calibri"/>
                <w:i/>
                <w:color w:val="1F2937"/>
                <w:sz w:val="19"/>
              </w:rPr>
              <w:t>Ecuaciones de agregación de capacidad, vector de existencias y regla de selección ordinal de despacho:</w:t>
              <w:br/>
            </w:r>
          </w:p>
          <w:p>
            <w:pPr>
              <w:jc w:val="center"/>
              <w:keepLines/>
              <w:spacing w:before="60" w:after="60"/>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keepLines/>
              <w:spacing w:before="60" w:after="60"/>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keepLines/>
              <w:spacing w:before="80" w:after="0" w:line="276" w:lineRule="auto"/>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tc>
      </w:tr>
    </w:tbl>
    <w:p>
      <w:pPr>
        <w:spacing w:before="0" w:after="80"/>
      </w:pPr>
    </w:p>
    <w:p>
      <w:pPr>
        <w:keepNext/>
        <w:spacing w:before="260" w:after="80"/>
        <w:pBdr>
          <w:bottom w:val="single" w:sz="6" w:space="2" w:color="1E40AF"/>
        </w:pBdr>
      </w:pPr>
      <w:r>
        <w:rPr>
          <w:rFonts w:ascii="Calibri" w:hAnsi="Calibri"/>
          <w:b/>
          <w:color w:val="1E40AF"/>
          <w:sz w:val="24"/>
        </w:rPr>
        <w:t>4.8 Din?mica de Fluidos Computacional y Aerodin?mica de Toberas Laminares en Plenum Posterior</w:t>
      </w:r>
    </w:p>
    <w:p>
      <w:pPr>
        <w:spacing w:line="276" w:lineRule="auto" w:before="0" w:after="60"/>
        <w:jc w:val="both"/>
      </w:pPr>
      <w:r>
        <w:rPr>
          <w:rFonts w:ascii="Calibri" w:hAnsi="Calibri"/>
          <w:b/>
          <w:color w:val="1F2937"/>
          <w:sz w:val="20"/>
        </w:rPr>
        <w:t xml:space="preserve">Modelado Aerodin?mico de Distribuci?n de Fr?o: </w:t>
      </w:r>
      <w:r>
        <w:rPr>
          <w:rFonts w:ascii="Calibri" w:hAnsi="Calibri"/>
          <w:color w:val="1F2937"/>
          <w:sz w:val="20"/>
        </w:rPr>
        <w:t>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XpendeX incorpora un plenum posterior c?nico con 6 toberas de descarga ranurada orientadas tangencialmente:</w:t>
      </w:r>
    </w:p>
    <w:p>
      <w:pPr>
        <w:spacing w:line="276" w:lineRule="auto" w:before="0" w:after="60"/>
        <w:jc w:val="both"/>
      </w:pPr>
      <w:r>
        <w:rPr>
          <w:rFonts w:ascii="Calibri" w:hAnsi="Calibri"/>
          <w:color w:val="1F2937"/>
          <w:sz w:val="20"/>
        </w:rPr>
        <w:t>? Ecuaci?n de Continuidad y Caudal Total: Para un ventilador centr?fugo que suministra un caudal volum?trico total de Q_total = 145 CFM (0.0684 m?/s), la masa de aire recircula la totalidad del volumen interno del gabinete cada 12.8 segundos:</w:t>
      </w:r>
    </w:p>
    <w:p>
      <w:pPr>
        <w:spacing w:line="276" w:lineRule="auto" w:before="0" w:after="60"/>
        <w:jc w:val="both"/>
      </w:pPr>
      <w:r>
        <w:rPr>
          <w:rFonts w:ascii="Calibri" w:hAnsi="Calibri"/>
          <w:color w:val="1F2937"/>
          <w:sz w:val="20"/>
        </w:rPr>
        <w:t>Q_{\text{total}} = \sum_{i=1}^6 Q_i = \sum_{i=1}^6 A_i \cdot v_i = \text{constante} = 0.0684 \text{ m}^3\text{/s}</w:t>
      </w:r>
    </w:p>
    <w:p>
      <w:pPr>
        <w:spacing w:line="276" w:lineRule="auto" w:before="0" w:after="60"/>
        <w:jc w:val="both"/>
      </w:pPr>
      <w:r>
        <w:rPr>
          <w:rFonts w:ascii="Calibri" w:hAnsi="Calibri"/>
          <w:color w:val="1F2937"/>
          <w:sz w:val="20"/>
        </w:rPr>
        <w:t>? Compensaci?n Hidr?ulica de Ca?da de Presi?n (Darcy-Weisbach):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76" w:lineRule="auto" w:before="0" w:after="60"/>
        <w:jc w:val="both"/>
      </w:pPr>
      <w:r>
        <w:rPr>
          <w:rFonts w:ascii="Calibri" w:hAnsi="Calibri"/>
          <w:color w:val="1F2937"/>
          <w:sz w:val="20"/>
        </w:rPr>
        <w:t>A_i = \frac{Q_i}{v_{\text{tobera}}} = \frac{Q_{\text{total}} / 6}{\sqrt{2 \Delta P_i / \rho}}</w:t>
      </w:r>
    </w:p>
    <w:p>
      <w:pPr>
        <w:spacing w:line="276" w:lineRule="auto" w:before="0" w:after="80"/>
        <w:jc w:val="both"/>
      </w:pPr>
      <w:r>
        <w:rPr>
          <w:rFonts w:ascii="Calibri" w:hAnsi="Calibri"/>
          <w:color w:val="1F2937"/>
          <w:sz w:val="20"/>
        </w:rPr>
        <w:t>? Gradiente Vertical M?ximo Certificado: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320" w:after="80"/>
        <w:pBdr>
          <w:bottom w:val="single" w:sz="12" w:space="3" w:color="0F2C59"/>
        </w:pBdr>
      </w:pPr>
      <w:r>
        <w:rPr>
          <w:rFonts w:ascii="Calibri" w:hAnsi="Calibri"/>
          <w:b/>
          <w:color w:val="0F2C59"/>
          <w:sz w:val="28"/>
        </w:rPr>
        <w:t>5.0 MODELOS MATEMÁTICOS Y ECUACIONES APLICABLES</w:t>
      </w:r>
    </w:p>
    <w:p>
      <w:pPr>
        <w:spacing w:line="276" w:lineRule="auto" w:before="0" w:after="80"/>
        <w:jc w:val="both"/>
      </w:pPr>
      <w:r>
        <w:rPr>
          <w:rFonts w:ascii="Calibri" w:hAnsi="Calibri"/>
          <w:color w:val="1F2937"/>
          <w:sz w:val="20"/>
        </w:rPr>
        <w:t>A continuación presentamos la formulación analítica de los ocho modelos matemáticos integrales que gobiernan la totalidad del comportamiento físico, térmico, mecánico, digital, de potencia y logístico del Micro-Restaurante XpendeX. Cada modelo se desarrolla bajo una estructura pedagógica rigurosa paso a paso, enlazando los fundamentos teóricos con los cálculos numéricos y sus conclusiones aplicadas de ingeniería mecatrónica.</w:t>
      </w:r>
    </w:p>
    <w:p>
      <w:pPr>
        <w:keepNext/>
        <w:spacing w:before="260" w:after="80"/>
        <w:pBdr>
          <w:bottom w:val="single" w:sz="6" w:space="2" w:color="1E40AF"/>
        </w:pBdr>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FRIGORÍFICO INTEGRAL Y DIMENSIONAMIENTO TÉRMICO (ASHRAE)</w:t>
              <w:br/>
            </w:r>
            <w:r>
              <w:rPr>
                <w:rFonts w:ascii="Calibri" w:hAnsi="Calibri"/>
                <w:i/>
                <w:color w:val="1F2937"/>
                <w:sz w:val="19"/>
              </w:rPr>
              <w:t>Deducción matemática completa del balance de calor en régimen permanente a 42 °C ambiente para asegurar el rango de 2 °C a 4 °C según la NOM-251-SSA1-2009.</w:t>
              <w:br/>
            </w:r>
          </w:p>
          <w:p>
            <w:pPr>
              <w:keepLines/>
              <w:spacing w:before="40" w:after="40" w:line="276" w:lineRule="auto"/>
            </w:pPr>
            <w:r>
              <w:rPr>
                <w:rFonts w:ascii="Calibri" w:hAnsi="Calibri"/>
                <w:b/>
                <w:color w:val="1E40AF"/>
                <w:sz w:val="19"/>
              </w:rPr>
              <w:t>▶ Paso 1: Parámetros del Recinto y Condiciones Ambientales Críticas</w:t>
            </w:r>
          </w:p>
          <w:p>
            <w:pPr>
              <w:keepLines/>
              <w:spacing w:before="0" w:after="60" w:line="276" w:lineRule="auto"/>
              <w:jc w:val="both"/>
            </w:pPr>
            <w:r>
              <w:rPr>
                <w:rFonts w:ascii="Calibri" w:hAnsi="Calibri"/>
                <w:color w:val="1F2937"/>
                <w:sz w:val="18"/>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keepLines/>
              <w:spacing w:before="60" w:after="60"/>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keepLines/>
              <w:spacing w:before="60" w:after="60"/>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keepLines/>
              <w:spacing w:before="60" w:after="60"/>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estos parámetros calculamos la resistencia térmica combinada de las paredes y del ventanal frontal.</w:t>
            </w:r>
          </w:p>
          <w:p>
            <w:pPr>
              <w:keepLines/>
              <w:spacing w:before="120" w:after="40" w:line="276" w:lineRule="auto"/>
            </w:pPr>
            <w:r>
              <w:rPr>
                <w:rFonts w:ascii="Calibri" w:hAnsi="Calibri"/>
                <w:b/>
                <w:color w:val="1E40AF"/>
                <w:sz w:val="19"/>
              </w:rPr>
              <w:t>▶ Paso 2: Coeficiente Global y Carga Térmica por Paredes Conductoras</w:t>
            </w:r>
          </w:p>
          <w:p>
            <w:pPr>
              <w:keepLines/>
              <w:spacing w:before="0" w:after="60" w:line="276" w:lineRule="auto"/>
              <w:jc w:val="both"/>
            </w:pPr>
            <w:r>
              <w:rPr>
                <w:rFonts w:ascii="Calibri" w:hAnsi="Calibri"/>
                <w:color w:val="1F2937"/>
                <w:sz w:val="18"/>
              </w:rPr>
              <w:t>Fundamento Teórico: Aplicando la analogía de resistencias térmicas en serie para conducción y convección:</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transmisión a través de las paredes aisladas con 40 mm de poliuretano es de apenas 82.47 W.</w:t>
            </w:r>
          </w:p>
          <w:p>
            <w:pPr>
              <w:keepLines/>
              <w:spacing w:before="120" w:after="40" w:line="276" w:lineRule="auto"/>
            </w:pPr>
            <w:r>
              <w:rPr>
                <w:rFonts w:ascii="Calibri" w:hAnsi="Calibri"/>
                <w:b/>
                <w:color w:val="1E40AF"/>
                <w:sz w:val="19"/>
              </w:rPr>
              <w:t>▶ Paso 3: Carga Térmica a través del Doble Vidrio Templado Frontal</w:t>
            </w:r>
          </w:p>
          <w:p>
            <w:pPr>
              <w:keepLines/>
              <w:spacing w:before="0" w:after="60" w:line="276" w:lineRule="auto"/>
              <w:jc w:val="both"/>
            </w:pPr>
            <w:r>
              <w:rPr>
                <w:rFonts w:ascii="Calibri" w:hAnsi="Calibri"/>
                <w:color w:val="1F2937"/>
                <w:sz w:val="18"/>
              </w:rPr>
              <w:t>Fundamento Teórico: El cristal doble de 4+4 mm con cámara de aire deshidratada aporta calor por transmisión y radiación infrarroja:</w:t>
            </w:r>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aporta 102.41 W. La cámara de aire evita el empañamiento en la cara exterior.</w:t>
            </w:r>
          </w:p>
          <w:p>
            <w:pPr>
              <w:keepLines/>
              <w:spacing w:before="120" w:after="40" w:line="276" w:lineRule="auto"/>
            </w:pPr>
            <w:r>
              <w:rPr>
                <w:rFonts w:ascii="Calibri" w:hAnsi="Calibri"/>
                <w:b/>
                <w:color w:val="1E40AF"/>
                <w:sz w:val="19"/>
              </w:rPr>
              <w:t>▶ Paso 4: Cargas Térmicas Internas por Ventilación, Iluminación e Infiltraciones</w:t>
            </w:r>
          </w:p>
          <w:p>
            <w:pPr>
              <w:keepLines/>
              <w:spacing w:before="0" w:after="60" w:line="276" w:lineRule="auto"/>
              <w:jc w:val="both"/>
            </w:pPr>
            <w:r>
              <w:rPr>
                <w:rFonts w:ascii="Calibri" w:hAnsi="Calibri"/>
                <w:color w:val="1F2937"/>
                <w:sz w:val="18"/>
              </w:rPr>
              <w:t>Fundamento Teórico: Siguiendo las directrices del Manual ASHRAE de Refrigeración Comercial para máquinas vending:</w:t>
            </w:r>
          </w:p>
          <w:p>
            <w:pPr>
              <w:jc w:val="center"/>
              <w:keepLines/>
              <w:spacing w:before="60" w:after="60"/>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internas</m:t>
                    </m:r>
                  </m:sub>
                </m:sSub>
                <m:r>
                  <m:t>=22.0+16.0+65.0+95.0=198.00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carga interna representa 198.00 W, donde el enfriamiento de comidas recién cargadas constituye el aporte principal.</w:t>
            </w:r>
          </w:p>
          <w:p>
            <w:pPr>
              <w:keepLines/>
              <w:spacing w:before="120" w:after="40" w:line="276" w:lineRule="auto"/>
            </w:pPr>
            <w:r>
              <w:rPr>
                <w:rFonts w:ascii="Calibri" w:hAnsi="Calibri"/>
                <w:b/>
                <w:color w:val="1E40AF"/>
                <w:sz w:val="19"/>
              </w:rPr>
              <w:t>▶ Paso 5: Carga Térmica Total y Selección de la Unidad Frigorífica BOWA</w:t>
            </w:r>
          </w:p>
          <w:p>
            <w:pPr>
              <w:keepLines/>
              <w:spacing w:before="0" w:after="60" w:line="276" w:lineRule="auto"/>
              <w:jc w:val="both"/>
            </w:pPr>
            <w:r>
              <w:rPr>
                <w:rFonts w:ascii="Calibri" w:hAnsi="Calibri"/>
                <w:color w:val="1F2937"/>
                <w:sz w:val="18"/>
              </w:rPr>
              <w:t>Fundamento Teórico: La demanda de refrigeración total requerida es la suma de todas las fuentes de ganancia térmica:</w:t>
            </w:r>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keepLines/>
              <w:spacing w:before="60" w:after="60"/>
            </w:pPr>
            <m:oMathPara>
              <m:oMath>
                <m:r>
                  <m:rPr>
                    <m:nor/>
                  </m:rPr>
                  <m:t>Capacidad Compresor 1/3 HP (R290)</m:t>
                </m:r>
                <m:r>
                  <m:t>=780.00</m:t>
                </m:r>
                <m:r>
                  <m:rPr>
                    <m:nor/>
                  </m:rPr>
                  <m:t> W</m:t>
                </m:r>
                <m:r>
                  <m:t>≈2,661</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un factor de seguridad de 2.04, el compresor operará con un ciclo de trabajo del 49%, permitiendo períodos de descanso regulares que prolongan su vida útil y ahorran energía.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carga térmica total es de 382.88 W. La unidad frigorífica BOWA de 1/3 HP seleccionada entrega 780 W, ofreciendo un factor de seguridad térmico de 2.04 (104% de holgura).</w:t>
            </w:r>
          </w:p>
        </w:tc>
      </w:tr>
    </w:tbl>
    <w:p>
      <w:pPr>
        <w:spacing w:before="0" w:after="80"/>
      </w:pPr>
    </w:p>
    <w:p>
      <w:pPr>
        <w:keepNext/>
        <w:spacing w:before="260" w:after="80"/>
        <w:pBdr>
          <w:bottom w:val="single" w:sz="6" w:space="2" w:color="1E40AF"/>
        </w:pBdr>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RIGIDEZ ESTRUCTURAL Y DEFLEXIÓN ELÁSTICA DE BANDEJAS (EULER-BERNOULLI)</w:t>
              <w:br/>
            </w:r>
            <w:r>
              <w:rPr>
                <w:rFonts w:ascii="Calibri" w:hAnsi="Calibri"/>
                <w:i/>
                <w:color w:val="1F2937"/>
                <w:sz w:val="19"/>
              </w:rPr>
              <w:t>Evaluación estructural analítica de la flexión en las bandejas deslizantes de comida corrida y bebidas bajo plena capacidad de carga (28.3 kg).</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Te?rico y Origen de Datos: Aplicamos el principio de superposici?n de cargas y la Segunda Ley de Newton. Cada una de las 6 bandejas deslizantes de chapa galvanizada Calibre 18 alberga una distribuci?n de cargas mixta:</w:t>
              <w:br/>
              <w:t>a) Dos Bah?as Laterales de Comida Casera: Dos canales anchos de 190 mm en los extremos (x1 = 190 mm y x2 = 760 mm), albergando cada una 5 platillos preparados en envases de polipropileno (masa unitaria de 0.50 kg = 2.50 kg por bah?a = 24.525 N).</w:t>
              <w:br/>
              <w:t>b) Cuatro Canales Centrales de Bebidas Fr?as: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Est?tico y Reacciones de Apoyo Lateral</w:t>
            </w:r>
          </w:p>
          <w:p>
            <w:pPr>
              <w:keepLines/>
              <w:spacing w:before="0" w:after="60" w:line="276" w:lineRule="auto"/>
              <w:jc w:val="both"/>
            </w:pPr>
            <w:r>
              <w:rPr>
                <w:rFonts w:ascii="Calibri" w:hAnsi="Calibri"/>
                <w:color w:val="1F2937"/>
                <w:sz w:val="18"/>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keepLines/>
              <w:spacing w:before="60" w:after="60"/>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corredera telesc?pica industrial de baleros soporta una reacci?n vertical est?tica de 113.41 N (11.56 kgf).</w:t>
            </w:r>
          </w:p>
          <w:p>
            <w:pPr>
              <w:keepLines/>
              <w:spacing w:before="120" w:after="40" w:line="276" w:lineRule="auto"/>
            </w:pPr>
            <w:r>
              <w:rPr>
                <w:rFonts w:ascii="Calibri" w:hAnsi="Calibri"/>
                <w:b/>
                <w:color w:val="1E40AF"/>
                <w:sz w:val="19"/>
              </w:rPr>
              <w:t>▶ Paso 3: Diagrama de Momentos Flectores y Momento M?ximo en el Centro de Luz</w:t>
            </w:r>
          </w:p>
          <w:p>
            <w:pPr>
              <w:keepLines/>
              <w:spacing w:before="0" w:after="60" w:line="276" w:lineRule="auto"/>
              <w:jc w:val="both"/>
            </w:pPr>
            <w:r>
              <w:rPr>
                <w:rFonts w:ascii="Calibri" w:hAnsi="Calibri"/>
                <w:color w:val="1F2937"/>
                <w:sz w:val="18"/>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cr?tico actuante en el centro de la charola es de 35.16 N?m, solicitando a tracci?n las fibras inferiores.</w:t>
            </w:r>
          </w:p>
          <w:p>
            <w:pPr>
              <w:keepLines/>
              <w:spacing w:before="120" w:after="40" w:line="276" w:lineRule="auto"/>
            </w:pPr>
            <w:r>
              <w:rPr>
                <w:rFonts w:ascii="Calibri" w:hAnsi="Calibri"/>
                <w:b/>
                <w:color w:val="1E40AF"/>
                <w:sz w:val="19"/>
              </w:rPr>
              <w:t>▶ Paso 4: C?lculo de la Deflexi?n El?stica M?xima Central bajo Euler-Bernoulli</w:t>
            </w:r>
          </w:p>
          <w:p>
            <w:pPr>
              <w:keepLines/>
              <w:spacing w:before="0" w:after="60" w:line="276" w:lineRule="auto"/>
              <w:jc w:val="both"/>
            </w:pPr>
            <w:r>
              <w:rPr>
                <w:rFonts w:ascii="Calibri" w:hAnsi="Calibri"/>
                <w:color w:val="1F2937"/>
                <w:sz w:val="18"/>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deflexi?n el?stica m?xima en el centro es de 1.28 mm, cumpliendo con holgura el l?mite admisible de rigidez industrial (L/250 = 3.80 mm) con un factor de seguridad de FS = 2.97.</w:t>
            </w:r>
          </w:p>
          <w:p>
            <w:pPr>
              <w:keepLines/>
              <w:spacing w:before="120" w:after="40" w:line="276" w:lineRule="auto"/>
            </w:pPr>
            <w:r>
              <w:rPr>
                <w:rFonts w:ascii="Calibri" w:hAnsi="Calibri"/>
                <w:b/>
                <w:color w:val="1E40AF"/>
                <w:sz w:val="19"/>
              </w:rPr>
              <w:t>▶ Paso 5: Verificaci?n de Esfuerzos Normales de Flexi?n (Criterio de Navier)</w:t>
            </w:r>
          </w:p>
          <w:p>
            <w:pPr>
              <w:keepLines/>
              <w:spacing w:before="0" w:after="60" w:line="276" w:lineRule="auto"/>
              <w:jc w:val="both"/>
            </w:pPr>
            <w:r>
              <w:rPr>
                <w:rFonts w:ascii="Calibri" w:hAnsi="Calibri"/>
                <w:color w:val="1F2937"/>
                <w:sz w:val="18"/>
              </w:rPr>
              <w:t>Fundamento Te?rico: Ecuaci?n de Navier para esfuerzos normales de flexi?n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l?mite de fluencia del acero estructural ASTM A-500 Grado B (Sy = 250 MPa), otorgando un factor de seguridad est?tico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pestañas dobladas en perfil 'C', la deflexión vertical máxima en el centro es de solo 0.088 mm, garantizando un desplazamiento suave sobre las correderas telescópicas sin riesgo de encasquillamiento.</w:t>
            </w:r>
          </w:p>
        </w:tc>
      </w:tr>
    </w:tbl>
    <w:p>
      <w:pPr>
        <w:spacing w:before="0" w:after="80"/>
      </w:pPr>
    </w:p>
    <w:p>
      <w:pPr>
        <w:keepNext/>
        <w:spacing w:before="260" w:after="80"/>
        <w:pBdr>
          <w:bottom w:val="single" w:sz="6" w:space="2" w:color="1E40AF"/>
        </w:pBdr>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CINEMÁTICA Y DINÁMICA DE PAR TORSOR EN ESPIRALES HELICOIDALES</w:t>
              <w:br/>
            </w:r>
            <w:r>
              <w:rPr>
                <w:rFonts w:ascii="Calibri" w:hAnsi="Calibri"/>
                <w:i/>
                <w:color w:val="1F2937"/>
                <w:sz w:val="19"/>
              </w:rPr>
              <w:t>Cálculo analítico del tiempo de ciclo de giro, par torsor resistente estático y dinámico, y factor de seguridad para envases gastronómicos pesados (750 g).</w:t>
              <w:br/>
            </w:r>
          </w:p>
          <w:p>
            <w:pPr>
              <w:keepLines/>
              <w:spacing w:before="40" w:after="40" w:line="276" w:lineRule="auto"/>
            </w:pPr>
            <w:r>
              <w:rPr>
                <w:rFonts w:ascii="Calibri" w:hAnsi="Calibri"/>
                <w:b/>
                <w:color w:val="1E40AF"/>
                <w:sz w:val="19"/>
              </w:rPr>
              <w:t>▶ Paso 1: Par Torsor de la Espiral Gigante Lateral de Comida Casera (? 144 mm)</w:t>
            </w:r>
          </w:p>
          <w:p>
            <w:pPr>
              <w:keepLines/>
              <w:spacing w:before="0" w:after="60" w:line="276" w:lineRule="auto"/>
              <w:jc w:val="both"/>
            </w:pPr>
            <w:r>
              <w:rPr>
                <w:rFonts w:ascii="Calibri" w:hAnsi="Calibri"/>
                <w:color w:val="1F2937"/>
                <w:sz w:val="18"/>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keepLines/>
              <w:spacing w:before="60" w:after="60"/>
            </w:pPr>
            <m:oMathPara>
              <m:oMath>
                <m:sSub>
                  <m:e>
                    <m:r>
                      <m:t>F</m:t>
                    </m:r>
                  </m:e>
                  <m:sub>
                    <m:r>
                      <m:rPr>
                        <m:nor/>
                      </m:rPr>
                      <m:t>friccion</m:t>
                    </m:r>
                  </m:sub>
                </m:sSub>
                <m:r>
                  <m:t>=μ·m·g=0.22·(24.525</m:t>
                </m:r>
                <m:r>
                  <m:rPr>
                    <m:nor/>
                  </m:rPr>
                  <m:t> N</m:t>
                </m:r>
                <m:r>
                  <m:t>)=5.40</m:t>
                </m:r>
                <m:r>
                  <m:rPr>
                    <m:nor/>
                  </m:rPr>
                  <m:t> N</m:t>
                </m:r>
              </m:oMath>
            </m:oMathPara>
          </w:p>
          <w:p>
            <w:pPr>
              <w:jc w:val="center"/>
              <w:keepLines/>
              <w:spacing w:before="60" w:after="60"/>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keepLines/>
              <w:spacing w:before="60" w:after="60"/>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keepLines/>
              <w:spacing w:before="60" w:after="60"/>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torsor m?ximo requerido durante el arranque en la espiral gigante es de 1.45 N?m, plenamente suministrado por el motorreductor 24V DC (par nominal de 2.20 N?m) con una reserva din?mica del 51.7%.</w:t>
            </w:r>
          </w:p>
          <w:p>
            <w:pPr>
              <w:keepLines/>
              <w:spacing w:before="120" w:after="40" w:line="276" w:lineRule="auto"/>
            </w:pPr>
            <w:r>
              <w:rPr>
                <w:rFonts w:ascii="Calibri" w:hAnsi="Calibri"/>
                <w:b/>
                <w:color w:val="1E40AF"/>
                <w:sz w:val="19"/>
              </w:rPr>
              <w:t>▶ Paso 2: Par Torsor de las Espirales Centrales de Bebidas Fr?as (? 70 mm)</w:t>
            </w:r>
          </w:p>
          <w:p>
            <w:pPr>
              <w:keepLines/>
              <w:spacing w:before="0" w:after="60" w:line="276" w:lineRule="auto"/>
              <w:jc w:val="both"/>
            </w:pPr>
            <w:r>
              <w:rPr>
                <w:rFonts w:ascii="Calibri" w:hAnsi="Calibri"/>
                <w:color w:val="1F2937"/>
                <w:sz w:val="18"/>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keepLines/>
              <w:spacing w:before="60" w:after="60"/>
            </w:pPr>
            <m:oMathPara>
              <m:oMath>
                <m:sSub>
                  <m:e>
                    <m:r>
                      <m:t>F</m:t>
                    </m:r>
                  </m:e>
                  <m:sub>
                    <m:r>
                      <m:rPr>
                        <m:nor/>
                      </m:rPr>
                      <m:t>friccion, bebidas</m:t>
                    </m:r>
                  </m:sub>
                </m:sSub>
                <m:r>
                  <m:t>=μ·m·g=0.18·(26.09</m:t>
                </m:r>
                <m:r>
                  <m:rPr>
                    <m:nor/>
                  </m:rPr>
                  <m:t> N</m:t>
                </m:r>
                <m:r>
                  <m:t>)=4.70</m:t>
                </m:r>
                <m:r>
                  <m:rPr>
                    <m:nor/>
                  </m:rPr>
                  <m:t> N</m:t>
                </m:r>
              </m:oMath>
            </m:oMathPara>
          </w:p>
          <w:p>
            <w:pPr>
              <w:jc w:val="center"/>
              <w:keepLines/>
              <w:spacing w:before="60" w:after="60"/>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keepLines/>
              <w:spacing w:before="60" w:after="60"/>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keepLines/>
              <w:spacing w:before="60" w:after="60"/>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de arranque en bebidas es de 0.65 N?m, otorgando al motorreductor 24V DC un holgado factor de seguridad de FS = 3.38 (238% de reserva din?mica).</w:t>
            </w:r>
          </w:p>
          <w:p>
            <w:pPr>
              <w:keepLines/>
              <w:spacing w:before="120" w:after="40" w:line="276" w:lineRule="auto"/>
            </w:pPr>
            <w:r>
              <w:rPr>
                <w:rFonts w:ascii="Calibri" w:hAnsi="Calibri"/>
                <w:b/>
                <w:color w:val="1E40AF"/>
                <w:sz w:val="19"/>
              </w:rPr>
              <w:t>▶ Paso 3: Potencia Mec?nica y Velocidad Angular de Salida</w:t>
            </w:r>
          </w:p>
          <w:p>
            <w:pPr>
              <w:keepLines/>
              <w:spacing w:before="0" w:after="60" w:line="276" w:lineRule="auto"/>
              <w:jc w:val="both"/>
            </w:pPr>
            <w:r>
              <w:rPr>
                <w:rFonts w:ascii="Calibri" w:hAnsi="Calibri"/>
                <w:color w:val="1F2937"/>
                <w:sz w:val="18"/>
              </w:rPr>
              <w:t>Fundamento Te?rico: Potencia rotacional P = T ? omega. Con velocidad de rotaci?n regulada a N = 60 RPM (omega = 6.28 rad/s, ciclo de 1.0 s por vuelta completa de 360?):</w:t>
            </w:r>
          </w:p>
          <w:p>
            <w:pPr>
              <w:jc w:val="center"/>
              <w:keepLines/>
              <w:spacing w:before="60" w:after="60"/>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keepLines/>
              <w:spacing w:before="60" w:after="60"/>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keepLines/>
              <w:spacing w:before="60" w:after="60"/>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demanda mec?nica pico se sit?a en 9.11 W por canal, cubierta holgadamente por el motorreductor 24V DC de 15 W nominales.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par dinámico requerido es de 0.605 N·m. El motorreductor seleccionado entrega 1.80 N·m (FS = 2.98), asegurando un avance libre de atascos.</w:t>
            </w:r>
          </w:p>
        </w:tc>
      </w:tr>
    </w:tbl>
    <w:p>
      <w:pPr>
        <w:spacing w:before="0" w:after="80"/>
      </w:pPr>
    </w:p>
    <w:p>
      <w:pPr>
        <w:keepNext/>
        <w:spacing w:before="260" w:after="80"/>
        <w:pBdr>
          <w:bottom w:val="single" w:sz="6" w:space="2" w:color="1E40AF"/>
        </w:pBdr>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CONTROL DE FRESCURA DIARIA Y REGLA DE BLOQUEO SANITARIO POR RELOJ RTC</w:t>
              <w:br/>
            </w:r>
            <w:r>
              <w:rPr>
                <w:rFonts w:ascii="Calibri" w:hAnsi="Calibri"/>
                <w:i/>
                <w:color w:val="1F2937"/>
                <w:sz w:val="19"/>
              </w:rPr>
              <w:t>Formulación del algoritmo embebido en firmware para garantizar que no se comercialice producto de días anteriores, forzando la rotación diaria de alimentos frescos.</w:t>
              <w:br/>
            </w:r>
          </w:p>
          <w:p>
            <w:pPr>
              <w:keepLines/>
              <w:spacing w:before="40" w:after="40" w:line="276" w:lineRule="auto"/>
            </w:pPr>
            <w:r>
              <w:rPr>
                <w:rFonts w:ascii="Calibri" w:hAnsi="Calibri"/>
                <w:b/>
                <w:color w:val="1E40AF"/>
                <w:sz w:val="19"/>
              </w:rPr>
              <w:t>▶ Paso 1: Parámetros de la Ventana Operativa de Venta Diaria</w:t>
            </w:r>
          </w:p>
          <w:p>
            <w:pPr>
              <w:keepLines/>
              <w:spacing w:before="0" w:after="60" w:line="276" w:lineRule="auto"/>
              <w:jc w:val="both"/>
            </w:pPr>
            <w:r>
              <w:rPr>
                <w:rFonts w:ascii="Calibri" w:hAnsi="Calibri"/>
                <w:color w:val="1F2937"/>
                <w:sz w:val="18"/>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keepLines/>
              <w:spacing w:before="60" w:after="60"/>
            </w:pPr>
            <m:oMathPara>
              <m:oMath>
                <m:sSub>
                  <m:e>
                    <m:r>
                      <m:t>t</m:t>
                    </m:r>
                  </m:e>
                  <m:sub>
                    <m:r>
                      <m:rPr>
                        <m:nor/>
                      </m:rPr>
                      <m:t>operativo\_maximo</m:t>
                    </m:r>
                  </m:sub>
                </m:sSub>
                <m:r>
                  <m:t>=14.0</m:t>
                </m:r>
                <m:r>
                  <m:rPr>
                    <m:nor/>
                  </m:rPr>
                  <m:t> horas</m:t>
                </m:r>
                <m:r>
                  <m:t>=840</m:t>
                </m:r>
                <m:r>
                  <m:rPr>
                    <m:nor/>
                  </m:rPr>
                  <m:t> minutos</m:t>
                </m:r>
              </m:oMath>
            </m:oMathPara>
          </w:p>
          <w:p>
            <w:pPr>
              <w:jc w:val="center"/>
              <w:keepLines/>
              <w:spacing w:before="60" w:after="60"/>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reloj RTC DS3231 lleva la cuenta en minutos con respaldo de batería de litio, inmune a cortes de energía eléctrica.</w:t>
            </w:r>
          </w:p>
          <w:p>
            <w:pPr>
              <w:keepLines/>
              <w:spacing w:before="120" w:after="40" w:line="276" w:lineRule="auto"/>
            </w:pPr>
            <w:r>
              <w:rPr>
                <w:rFonts w:ascii="Calibri" w:hAnsi="Calibri"/>
                <w:b/>
                <w:color w:val="1E40AF"/>
                <w:sz w:val="19"/>
              </w:rPr>
              <w:t>▶ Paso 2: Algoritmo de Bloqueo Sanitario Fail-Safe en Firmware</w:t>
            </w:r>
          </w:p>
          <w:p>
            <w:pPr>
              <w:keepLines/>
              <w:spacing w:before="0" w:after="60" w:line="276" w:lineRule="auto"/>
              <w:jc w:val="both"/>
            </w:pPr>
            <w:r>
              <w:rPr>
                <w:rFonts w:ascii="Calibri" w:hAnsi="Calibri"/>
                <w:color w:val="1F2937"/>
                <w:sz w:val="18"/>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keepLines/>
              <w:spacing w:before="60" w:after="60"/>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temporizador de turno con reloj de tiempo real DS3231 garantiza que ningún alimento permanezca más de 14 horas en la máquina, cumpliendo con la política de frescura del día.</w:t>
            </w:r>
          </w:p>
        </w:tc>
      </w:tr>
    </w:tbl>
    <w:p>
      <w:pPr>
        <w:spacing w:before="0" w:after="80"/>
      </w:pPr>
    </w:p>
    <w:p>
      <w:pPr>
        <w:keepNext/>
        <w:spacing w:before="260" w:after="80"/>
        <w:pBdr>
          <w:bottom w:val="single" w:sz="6" w:space="2" w:color="1E40AF"/>
        </w:pBdr>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5: CONFIABILIDAD COMPUESTA, MTBF Y DISPONIBILIDAD OPERATIVA</w:t>
              <w:br/>
            </w:r>
            <w:r>
              <w:rPr>
                <w:rFonts w:ascii="Calibri" w:hAnsi="Calibri"/>
                <w:i/>
                <w:color w:val="1F2937"/>
                <w:sz w:val="19"/>
              </w:rPr>
              <w:t>Evaluación matemática de tasas de fallas bajo norma MIL-HDBK-217F y cálculo de disponibilidad para servicio desatendido en campus.</w:t>
              <w:br/>
            </w:r>
          </w:p>
          <w:p>
            <w:pPr>
              <w:keepLines/>
              <w:spacing w:before="40" w:after="40" w:line="276" w:lineRule="auto"/>
            </w:pPr>
            <w:r>
              <w:rPr>
                <w:rFonts w:ascii="Calibri" w:hAnsi="Calibri"/>
                <w:b/>
                <w:color w:val="1E40AF"/>
                <w:sz w:val="19"/>
              </w:rPr>
              <w:t>▶ Paso 1: Tasa de Fallas Compuesta del Sistema en Serie</w:t>
            </w:r>
          </w:p>
          <w:p>
            <w:pPr>
              <w:keepLines/>
              <w:spacing w:before="0" w:after="60" w:line="276" w:lineRule="auto"/>
              <w:jc w:val="both"/>
            </w:pPr>
            <w:r>
              <w:rPr>
                <w:rFonts w:ascii="Calibri" w:hAnsi="Calibri"/>
                <w:color w:val="1F2937"/>
                <w:sz w:val="18"/>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keepLines/>
              <w:spacing w:before="60" w:after="60"/>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keepLines/>
              <w:spacing w:before="60" w:after="60"/>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keepLines/>
              <w:spacing w:before="60" w:after="60"/>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combinada de fallas del equipo completo es de 6.8 × 10⁻⁵ fallas por hora.</w:t>
            </w:r>
          </w:p>
          <w:p>
            <w:pPr>
              <w:keepLines/>
              <w:spacing w:before="120" w:after="40" w:line="276" w:lineRule="auto"/>
            </w:pPr>
            <w:r>
              <w:rPr>
                <w:rFonts w:ascii="Calibri" w:hAnsi="Calibri"/>
                <w:b/>
                <w:color w:val="1E40AF"/>
                <w:sz w:val="19"/>
              </w:rPr>
              <w:t>▶ Paso 2: Tiempo Medio Entre Fallas (MTBF) y Disponibilidad Anual</w:t>
            </w:r>
          </w:p>
          <w:p>
            <w:pPr>
              <w:keepLines/>
              <w:spacing w:before="0" w:after="60" w:line="276" w:lineRule="auto"/>
              <w:jc w:val="both"/>
            </w:pPr>
            <w:r>
              <w:rPr>
                <w:rFonts w:ascii="Calibri" w:hAnsi="Calibri"/>
                <w:color w:val="1F2937"/>
                <w:sz w:val="18"/>
              </w:rPr>
              <w:t>Fundamento Teórico: El tiempo medio entre averías no programadas y la disponibilidad en servicio continuo 24/7 (considerando un tiempo medio de reparación de 3.5 horas por reemplazo modular en taller) son:</w:t>
            </w:r>
          </w:p>
          <w:p>
            <w:pPr>
              <w:jc w:val="center"/>
              <w:keepLines/>
              <w:spacing w:before="60" w:after="60"/>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keepLines/>
              <w:spacing w:before="60" w:after="60"/>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sistema ofrece una disponibilidad operativa del 99.976%, equivalente a menos de 2.1 horas de paro fortuito por año de operación.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MTBF de 14,706 horas y arquitectura modular de rápido recambio, el equipo alcanza una disponibilidad del 99.976%.</w:t>
            </w:r>
          </w:p>
        </w:tc>
      </w:tr>
    </w:tbl>
    <w:p>
      <w:pPr>
        <w:spacing w:before="0" w:after="80"/>
      </w:pPr>
    </w:p>
    <w:p>
      <w:pPr>
        <w:keepNext/>
        <w:spacing w:before="260" w:after="80"/>
        <w:pBdr>
          <w:bottom w:val="single" w:sz="6" w:space="2" w:color="1E40AF"/>
        </w:pBdr>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6: SISTEMA DIGITAL, MULTIPLEXACIÓN DE PANTALLA Y BARRERA INFRARROJA</w:t>
              <w:br/>
            </w:r>
            <w:r>
              <w:rPr>
                <w:rFonts w:ascii="Calibri" w:hAnsi="Calibri"/>
                <w:i/>
                <w:color w:val="1F2937"/>
                <w:sz w:val="19"/>
              </w:rPr>
              <w:t>Deducción analítica de la frecuencia de escaneo de la matriz digital, cálculo de potencia de fuente conmutada y modelado óptico del sensor de caída libre.</w:t>
              <w:br/>
            </w:r>
          </w:p>
          <w:p>
            <w:pPr>
              <w:keepLines/>
              <w:spacing w:before="40" w:after="40" w:line="276" w:lineRule="auto"/>
            </w:pPr>
            <w:r>
              <w:rPr>
                <w:rFonts w:ascii="Calibri" w:hAnsi="Calibri"/>
                <w:b/>
                <w:color w:val="1E40AF"/>
                <w:sz w:val="19"/>
              </w:rPr>
              <w:t>▶ Paso 1: Frecuencia de Escaneo y Multiplexación Temporal de la Matriz Digital</w:t>
            </w:r>
          </w:p>
          <w:p>
            <w:pPr>
              <w:keepLines/>
              <w:spacing w:before="0" w:after="60" w:line="276" w:lineRule="auto"/>
              <w:jc w:val="both"/>
            </w:pPr>
            <w:r>
              <w:rPr>
                <w:rFonts w:ascii="Calibri" w:hAnsi="Calibri"/>
                <w:color w:val="1F2937"/>
                <w:sz w:val="18"/>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keepLines/>
              <w:spacing w:before="60" w:after="60"/>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keepLines/>
              <w:spacing w:before="60" w:after="60"/>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Cada fila permanece encendida durante una ventana temporal exacta de 1.04 milisegundos antes de conmutar a la siguiente fila mediante transistores MOSFET de canal P.</w:t>
            </w:r>
          </w:p>
          <w:p>
            <w:pPr>
              <w:keepLines/>
              <w:spacing w:before="120" w:after="40" w:line="276" w:lineRule="auto"/>
            </w:pPr>
            <w:r>
              <w:rPr>
                <w:rFonts w:ascii="Calibri" w:hAnsi="Calibri"/>
                <w:b/>
                <w:color w:val="1E40AF"/>
                <w:sz w:val="19"/>
              </w:rPr>
              <w:t>▶ Paso 2: Ciclo de Trabajo (Duty Cycle) y Corriente de Pico por Diodo LED</w:t>
            </w:r>
          </w:p>
          <w:p>
            <w:pPr>
              <w:keepLines/>
              <w:spacing w:before="0" w:after="60" w:line="276" w:lineRule="auto"/>
              <w:jc w:val="both"/>
            </w:pPr>
            <w:r>
              <w:rPr>
                <w:rFonts w:ascii="Calibri" w:hAnsi="Calibri"/>
                <w:color w:val="1F2937"/>
                <w:sz w:val="18"/>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keepLines/>
              <w:spacing w:before="60" w:after="60"/>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keepLines/>
              <w:spacing w:before="60" w:after="60"/>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Los transistores de columna y los circuitos integrados de registro de desplazamiento deben soportar pulsos de corriente de 240 mA con tiempos de subida inferiores a 50 nanosegundos.</w:t>
            </w:r>
          </w:p>
          <w:p>
            <w:pPr>
              <w:keepLines/>
              <w:spacing w:before="120" w:after="40" w:line="276" w:lineRule="auto"/>
            </w:pPr>
            <w:r>
              <w:rPr>
                <w:rFonts w:ascii="Calibri" w:hAnsi="Calibri"/>
                <w:b/>
                <w:color w:val="1E40AF"/>
                <w:sz w:val="19"/>
              </w:rPr>
              <w:t>▶ Paso 3: Consumo Dinámico de Potencia Eléctrica y Fuente de Alimentación Digital</w:t>
            </w:r>
          </w:p>
          <w:p>
            <w:pPr>
              <w:keepLines/>
              <w:spacing w:before="0" w:after="60" w:line="276" w:lineRule="auto"/>
              <w:jc w:val="both"/>
            </w:pPr>
            <w:r>
              <w:rPr>
                <w:rFonts w:ascii="Calibri" w:hAnsi="Calibri"/>
                <w:color w:val="1F2937"/>
                <w:sz w:val="18"/>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keepLines/>
              <w:spacing w:before="60" w:after="60"/>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keepLines/>
              <w:spacing w:before="40" w:after="40" w:line="276" w:lineRule="auto"/>
              <w:jc w:val="both"/>
            </w:pPr>
            <w:r>
              <w:rPr>
                <w:rFonts w:ascii="Calibri" w:hAnsi="Calibri"/>
                <w:color w:val="1F2937"/>
                <w:sz w:val="18"/>
              </w:rPr>
              <w:t>Sumando la potencia de los circuitos integrados drivers, la pantalla LCD industrial de 32" (45 W) y el microcontrolador ESP32 con módem celular (3.5 W), la corriente máxima en el riel digital de 5 V con factor de seguridad de 1.50 es:</w:t>
            </w:r>
          </w:p>
          <w:p>
            <w:pPr>
              <w:jc w:val="center"/>
              <w:keepLines/>
              <w:spacing w:before="60" w:after="60"/>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keepLines/>
              <w:spacing w:before="60" w:after="60"/>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Se selecciona una fuente de alimentación conmutada industrial de 5 V a 20 A (100 W) con protección contra cortocircuito y filtro EMI para alimentar de forma estable todo el sistema digital.</w:t>
            </w:r>
          </w:p>
          <w:p>
            <w:pPr>
              <w:keepLines/>
              <w:spacing w:before="120" w:after="40" w:line="276" w:lineRule="auto"/>
            </w:pPr>
            <w:r>
              <w:rPr>
                <w:rFonts w:ascii="Calibri" w:hAnsi="Calibri"/>
                <w:b/>
                <w:color w:val="1E40AF"/>
                <w:sz w:val="19"/>
              </w:rPr>
              <w:t>▶ Paso 4: Atenuación Óptica y Tiempo de Respuesta de la Barrera Infrarroja de Caída</w:t>
            </w:r>
          </w:p>
          <w:p>
            <w:pPr>
              <w:keepLines/>
              <w:spacing w:before="0" w:after="60" w:line="276" w:lineRule="auto"/>
              <w:jc w:val="both"/>
            </w:pPr>
            <w:r>
              <w:rPr>
                <w:rFonts w:ascii="Calibri" w:hAnsi="Calibri"/>
                <w:color w:val="1F2937"/>
                <w:sz w:val="18"/>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keepLines/>
              <w:spacing w:before="60" w:after="60"/>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keepLines/>
              <w:spacing w:before="40" w:after="40" w:line="276" w:lineRule="auto"/>
              <w:jc w:val="both"/>
            </w:pPr>
            <w:r>
              <w:rPr>
                <w:rFonts w:ascii="Calibri" w:hAnsi="Calibri"/>
                <w:color w:val="1F2937"/>
                <w:sz w:val="18"/>
              </w:rPr>
              <w:t>Al caer el recipiente de comida corrida, la opacidad del envase interrumpe más del 95% del haz luminoso. La velocidad de caída libre desde la charola más baja (altura de 0.25 m) y el tiempo de interrupción del haz son:</w:t>
            </w:r>
          </w:p>
          <w:p>
            <w:pPr>
              <w:jc w:val="center"/>
              <w:keepLines/>
              <w:spacing w:before="60" w:after="60"/>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keepLines/>
              <w:spacing w:before="60" w:after="60"/>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control digital opera a 960 Hz de escaneo libre de parpadeo y consume 56 W totales. La barrera óptica de 38 kHz detecta la caída del tupper en 1.2 ms, garantizando cobro exacto y validación física de entrega.</w:t>
            </w:r>
          </w:p>
        </w:tc>
      </w:tr>
    </w:tbl>
    <w:p>
      <w:pPr>
        <w:spacing w:before="0" w:after="80"/>
      </w:pPr>
    </w:p>
    <w:p>
      <w:pPr>
        <w:keepNext/>
        <w:spacing w:before="260" w:after="80"/>
        <w:pBdr>
          <w:bottom w:val="single" w:sz="6" w:space="2" w:color="1E40AF"/>
        </w:pBdr>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7: ALGORITMO DE CONMUTACIÓN SECUENCIAL MULTI-RANURA Y APILAMIENTO FIFO</w:t>
              <w:br/>
            </w:r>
            <w:r>
              <w:rPr>
                <w:rFonts w:ascii="Calibri" w:hAnsi="Calibri"/>
                <w:i/>
                <w:color w:val="1F2937"/>
                <w:sz w:val="19"/>
              </w:rPr>
              <w:t>Formulación matemática de teoría de conjuntos y autómatas de estado finito para el mapeo dinámico de ranuras, suma de inventario y conmutación transparente en cascada.</w:t>
              <w:br/>
            </w:r>
          </w:p>
          <w:p>
            <w:pPr>
              <w:keepLines/>
              <w:spacing w:before="40" w:after="40" w:line="276" w:lineRule="auto"/>
            </w:pPr>
            <w:r>
              <w:rPr>
                <w:rFonts w:ascii="Calibri" w:hAnsi="Calibri"/>
                <w:b/>
                <w:color w:val="1E40AF"/>
                <w:sz w:val="19"/>
              </w:rPr>
              <w:t>▶ Paso 1: Formalización de Conjuntos de Ranuras Físicas y Agregación de Capacidad</w:t>
            </w:r>
          </w:p>
          <w:p>
            <w:pPr>
              <w:keepLines/>
              <w:spacing w:before="0" w:after="60" w:line="276" w:lineRule="auto"/>
              <w:jc w:val="both"/>
            </w:pPr>
            <w:r>
              <w:rPr>
                <w:rFonts w:ascii="Calibri" w:hAnsi="Calibri"/>
                <w:color w:val="1F2937"/>
                <w:sz w:val="18"/>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keepLines/>
              <w:spacing w:before="60" w:after="60"/>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partición del conjunto de ranuras asegura que ninguna casilla física se asigne simultáneamente a dos productos, mientras que la capacidad total se suma algebraicamente de forma transparente para el comensal.</w:t>
            </w:r>
          </w:p>
          <w:p>
            <w:pPr>
              <w:keepLines/>
              <w:spacing w:before="120" w:after="40" w:line="276" w:lineRule="auto"/>
            </w:pPr>
            <w:r>
              <w:rPr>
                <w:rFonts w:ascii="Calibri" w:hAnsi="Calibri"/>
                <w:b/>
                <w:color w:val="1E40AF"/>
                <w:sz w:val="19"/>
              </w:rPr>
              <w:t>▶ Paso 2: Vector de Inventario en Tiempo Real y Regla de Despacho Ordinal FIFO</w:t>
            </w:r>
          </w:p>
          <w:p>
            <w:pPr>
              <w:keepLines/>
              <w:spacing w:before="0" w:after="60" w:line="276" w:lineRule="auto"/>
              <w:jc w:val="both"/>
            </w:pPr>
            <w:r>
              <w:rPr>
                <w:rFonts w:ascii="Calibri" w:hAnsi="Calibri"/>
                <w:color w:val="1F2937"/>
                <w:sz w:val="18"/>
              </w:rPr>
              <w:t>Fundamento Teórico: El estado de existencias en el instante t se representa mediante el vector n(p_i, t) = [n_1(t), n_2(t), ..., n_{k_i}(t)]^T. La regla de selección de la ranura física activa a accionar en la compra unitaria es:</w:t>
            </w:r>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puntero de conmutación selecciona prioritariamente la primera ranura cargada en orden ordinal. Mientras n_1(t) &gt; 0, se despacha de s_{i,1}.</w:t>
            </w:r>
          </w:p>
          <w:p>
            <w:pPr>
              <w:keepLines/>
              <w:spacing w:before="120" w:after="40" w:line="276" w:lineRule="auto"/>
            </w:pPr>
            <w:r>
              <w:rPr>
                <w:rFonts w:ascii="Calibri" w:hAnsi="Calibri"/>
                <w:b/>
                <w:color w:val="1E40AF"/>
                <w:sz w:val="19"/>
              </w:rPr>
              <w:t>▶ Paso 3: Transición Discreta de Estado y Conmutación Asíncrona sin Pérdida de Venta</w:t>
            </w:r>
          </w:p>
          <w:p>
            <w:pPr>
              <w:keepLines/>
              <w:spacing w:before="0" w:after="60" w:line="276" w:lineRule="auto"/>
              <w:jc w:val="both"/>
            </w:pPr>
            <w:r>
              <w:rPr>
                <w:rFonts w:ascii="Calibri" w:hAnsi="Calibri"/>
                <w:color w:val="1F2937"/>
                <w:sz w:val="18"/>
              </w:rPr>
              <w:t>Fundamento Teórico: Al consumarse el ciclo de giro y confirmarse la caída óptica por la barrera infrarroja en el instante t_k, el vector de inventario experimenta la transición discreta:</w:t>
            </w:r>
          </w:p>
          <w:p>
            <w:pPr>
              <w:jc w:val="center"/>
              <w:keepLines/>
              <w:spacing w:before="60" w:after="60"/>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keepLines/>
              <w:spacing w:before="60" w:after="60"/>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Cuando la ranura A1 entrega su octavo tupper (n_1 = 0), el puntero conmuta inmediatamente a A6 sin necesidad de intervención manual del operador ni reinicio de sesión.</w:t>
            </w:r>
          </w:p>
          <w:p>
            <w:pPr>
              <w:keepLines/>
              <w:spacing w:before="120" w:after="40" w:line="276" w:lineRule="auto"/>
            </w:pPr>
            <w:r>
              <w:rPr>
                <w:rFonts w:ascii="Calibri" w:hAnsi="Calibri"/>
                <w:b/>
                <w:color w:val="1E40AF"/>
                <w:sz w:val="19"/>
              </w:rPr>
              <w:t>▶ Paso 4: Latencia de Conmutación y Validación de Integridad Transaccional</w:t>
            </w:r>
          </w:p>
          <w:p>
            <w:pPr>
              <w:keepLines/>
              <w:spacing w:before="0" w:after="60" w:line="276" w:lineRule="auto"/>
              <w:jc w:val="both"/>
            </w:pPr>
            <w:r>
              <w:rPr>
                <w:rFonts w:ascii="Calibri" w:hAnsi="Calibri"/>
                <w:color w:val="1F2937"/>
                <w:sz w:val="18"/>
              </w:rPr>
              <w:t>Fundamento Teórico: El tiempo total de failover o conmutación entre ranuras en el software central se modela como la suma de las latencias de evaluación de stock, bloqueo atómico en memoria y actualización de WebSockets:</w:t>
            </w:r>
          </w:p>
          <w:p>
            <w:pPr>
              <w:jc w:val="center"/>
              <w:keepLines/>
              <w:spacing w:before="60" w:after="60"/>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transición se completa en 48.3 milisegundos, garantizando que el usuario en el quiosco cliente no experimente congelamiento alguno en la interfaz visual.</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algoritmo multi-ranura elimina el cuello de botella del agotamiento prematuro de productos populares, conmutando ranuras en menos de 49 ms sin colisiones de inventario.</w:t>
            </w:r>
          </w:p>
        </w:tc>
      </w:tr>
    </w:tbl>
    <w:p>
      <w:pPr>
        <w:spacing w:before="0" w:after="80"/>
      </w:pPr>
    </w:p>
    <w:p>
      <w:pPr>
        <w:keepNext/>
        <w:spacing w:before="260" w:after="80"/>
        <w:pBdr>
          <w:bottom w:val="single" w:sz="6" w:space="2" w:color="1E40AF"/>
        </w:pBdr>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8: ELECTRÓNICA DE POTENCIA, CONMUTACIÓN INDUCTIVA Y DISEÑO TÉRMICO DE PCB (IPC-2221)</w:t>
              <w:br/>
            </w:r>
            <w:r>
              <w:rPr>
                <w:rFonts w:ascii="Calibri" w:hAnsi="Calibri"/>
                <w:i/>
                <w:color w:val="1F2937"/>
                <w:sz w:val="19"/>
              </w:rPr>
              <w:t>Deducción analítica de la disipación magnética en diodos flyback, pérdidas de conducción en MOSFETs y dimensionamiento térmico de pistas en PCB según la norma IPC-2221.</w:t>
              <w:br/>
            </w:r>
          </w:p>
          <w:p>
            <w:pPr>
              <w:keepLines/>
              <w:spacing w:before="40" w:after="40" w:line="276" w:lineRule="auto"/>
            </w:pPr>
            <w:r>
              <w:rPr>
                <w:rFonts w:ascii="Calibri" w:hAnsi="Calibri"/>
                <w:b/>
                <w:color w:val="1E40AF"/>
                <w:sz w:val="19"/>
              </w:rPr>
              <w:t>▶ Paso 1: Energía Inductiva Almacenada y Disipación en Red Flyback</w:t>
            </w:r>
          </w:p>
          <w:p>
            <w:pPr>
              <w:keepLines/>
              <w:spacing w:before="0" w:after="60" w:line="276" w:lineRule="auto"/>
              <w:jc w:val="both"/>
            </w:pPr>
            <w:r>
              <w:rPr>
                <w:rFonts w:ascii="Calibri" w:hAnsi="Calibri"/>
                <w:color w:val="1F2937"/>
                <w:sz w:val="18"/>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keepLines/>
              <w:spacing w:before="60" w:after="60"/>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energía residual de 13.32 mJ se disipa a través del diodo 1N4007 en tan solo 0.80 milisegundos, protegiendo totalmente los transistores contra picos de voltaje destructivos.</w:t>
            </w:r>
          </w:p>
          <w:p>
            <w:pPr>
              <w:keepLines/>
              <w:spacing w:before="120" w:after="40" w:line="276" w:lineRule="auto"/>
            </w:pPr>
            <w:r>
              <w:rPr>
                <w:rFonts w:ascii="Calibri" w:hAnsi="Calibri"/>
                <w:b/>
                <w:color w:val="1E40AF"/>
                <w:sz w:val="19"/>
              </w:rPr>
              <w:t>▶ Paso 2: Pérdidas por Conducción Estática en Transistores MOSFET</w:t>
            </w:r>
          </w:p>
          <w:p>
            <w:pPr>
              <w:keepLines/>
              <w:spacing w:before="0" w:after="60" w:line="276" w:lineRule="auto"/>
              <w:jc w:val="both"/>
            </w:pPr>
            <w:r>
              <w:rPr>
                <w:rFonts w:ascii="Calibri" w:hAnsi="Calibri"/>
                <w:color w:val="1F2937"/>
                <w:sz w:val="18"/>
              </w:rPr>
              <w:t>Fundamento Teórico: Calculamos las pérdidas por efecto Joule durante la conducción del ciclo de dispensación (duración t_giro = 2.40 s) para los transistores Low-Side (IRLZ44N) y High-Side (IRF9540N):</w:t>
            </w:r>
          </w:p>
          <w:p>
            <w:pPr>
              <w:jc w:val="center"/>
              <w:keepLines/>
              <w:spacing w:before="60" w:after="60"/>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keepLines/>
              <w:spacing w:before="60" w:after="60"/>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elevación de temperatura en la unión semiconductora es inferior a 0.9 °C, demostrando que los MOSFETs operan completamente fríos sin requerir disipadores de calor voluminosos.</w:t>
            </w:r>
          </w:p>
          <w:p>
            <w:pPr>
              <w:keepLines/>
              <w:spacing w:before="120" w:after="40" w:line="276" w:lineRule="auto"/>
            </w:pPr>
            <w:r>
              <w:rPr>
                <w:rFonts w:ascii="Calibri" w:hAnsi="Calibri"/>
                <w:b/>
                <w:color w:val="1E40AF"/>
                <w:sz w:val="19"/>
              </w:rPr>
              <w:t>▶ Paso 3: Dimensionamiento Térmico de Pistas de Potencia según IPC-2221</w:t>
            </w:r>
          </w:p>
          <w:p>
            <w:pPr>
              <w:keepLines/>
              <w:spacing w:before="0" w:after="60" w:line="276" w:lineRule="auto"/>
              <w:jc w:val="both"/>
            </w:pPr>
            <w:r>
              <w:rPr>
                <w:rFonts w:ascii="Calibri" w:hAnsi="Calibri"/>
                <w:color w:val="1F2937"/>
                <w:sz w:val="18"/>
              </w:rPr>
              <w:t>Fundamento Teórico: Para una corriente de pico de diseño de 3.0 A (arranque simultáneo de 2 motores) y una elevación térmica admisible ΔT = 10 °C en conductores externos de cobre de 1 oz (espesor t = 1.378 mils = 0.035 mm):</w:t>
            </w:r>
          </w:p>
          <w:p>
            <w:pPr>
              <w:jc w:val="center"/>
              <w:keepLines/>
              <w:spacing w:before="60" w:after="60"/>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ancho de pista de 3.50 mm seleccionado en el diseño de EasyEDA reduce la elevación de temperatura real a menos de 1.8 °C, otorgando máxima confiabilidad industrial al PCB.</w:t>
            </w:r>
          </w:p>
          <w:p>
            <w:pPr>
              <w:keepLines/>
              <w:spacing w:before="120" w:after="40" w:line="276" w:lineRule="auto"/>
            </w:pPr>
            <w:r>
              <w:rPr>
                <w:rFonts w:ascii="Calibri" w:hAnsi="Calibri"/>
                <w:b/>
                <w:color w:val="1E40AF"/>
                <w:sz w:val="19"/>
              </w:rPr>
              <w:t>▶ Paso 4: Margen de Saturación del Optoacoplador Galvánico PC817C</w:t>
            </w:r>
          </w:p>
          <w:p>
            <w:pPr>
              <w:keepLines/>
              <w:spacing w:before="0" w:after="60" w:line="276" w:lineRule="auto"/>
              <w:jc w:val="both"/>
            </w:pPr>
            <w:r>
              <w:rPr>
                <w:rFonts w:ascii="Calibri" w:hAnsi="Calibri"/>
                <w:color w:val="1F2937"/>
                <w:sz w:val="18"/>
              </w:rPr>
              <w:t>Fundamento Teórico: Con una resistencia limitadora de entrada R_in = 330 Ω excitada a V_ESP = 3.3 V y una caída directa de diodo V_F = 1.15 V, la corriente directa del emisor y la corriente de colector saturada son:</w:t>
            </w:r>
          </w:p>
          <w:p>
            <w:pPr>
              <w:jc w:val="center"/>
              <w:keepLines/>
              <w:spacing w:before="60" w:after="60"/>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keepLines/>
              <w:spacing w:before="60" w:after="60"/>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optoacoplador opera en saturación profunda con un factor de seguridad de 10.8, garantizando una conmutación limpia, rápida y totalmente libre de caídas de tensión.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potencia conmuta picos inductivos de 1.2 A en 0.8 ms con sobrecalentamiento despreciable (&lt; 0.9 °C). Las pistas de 3.50 mm cumplen plenamente con la norma IPC-2221.</w:t>
            </w:r>
          </w:p>
        </w:tc>
      </w:tr>
    </w:tbl>
    <w:p>
      <w:pPr>
        <w:spacing w:before="0" w:after="80"/>
      </w:pPr>
    </w:p>
    <w:p>
      <w:pPr>
        <w:keepNext/>
        <w:spacing w:before="260" w:after="80"/>
        <w:pBdr>
          <w:bottom w:val="single" w:sz="6" w:space="2" w:color="1E40AF"/>
        </w:pBdr>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9: TRANSFERENCIA DE CALOR RADIATIVA Y PREVENCIÓN DE CONDENSACIÓN (ASHRAE)</w:t>
              <w:br/>
            </w:r>
            <w:r>
              <w:rPr>
                <w:rFonts w:ascii="Calibri" w:hAnsi="Calibri"/>
                <w:i/>
                <w:color w:val="1F2937"/>
                <w:sz w:val="19"/>
              </w:rPr>
              <w:t>Modelación analítica de la radiación infrarroja, convección confinada en cámara de gas y verificación de temperatura de rocío superficial según la norma ASHRAE 32.1.</w:t>
              <w:br/>
            </w:r>
          </w:p>
          <w:p>
            <w:pPr>
              <w:keepLines/>
              <w:spacing w:before="40" w:after="40" w:line="276" w:lineRule="auto"/>
            </w:pPr>
            <w:r>
              <w:rPr>
                <w:rFonts w:ascii="Calibri" w:hAnsi="Calibri"/>
                <w:b/>
                <w:color w:val="1E40AF"/>
                <w:sz w:val="19"/>
              </w:rPr>
              <w:t>▶ Paso 1: Radiación Neta entre Superficies Planas Paralelas del Vidrio Doble</w:t>
            </w:r>
          </w:p>
          <w:p>
            <w:pPr>
              <w:keepLines/>
              <w:spacing w:before="0" w:after="60" w:line="276" w:lineRule="auto"/>
              <w:jc w:val="both"/>
            </w:pPr>
            <w:r>
              <w:rPr>
                <w:rFonts w:ascii="Calibri" w:hAnsi="Calibri"/>
                <w:color w:val="1F2937"/>
                <w:sz w:val="18"/>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keepLines/>
              <w:spacing w:before="60" w:after="60"/>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neta de intercambio radiativo en la cámara intermedia es de 139.35 W por metro cuadrado de acristalamiento.</w:t>
            </w:r>
          </w:p>
          <w:p>
            <w:pPr>
              <w:keepLines/>
              <w:spacing w:before="120" w:after="40" w:line="276" w:lineRule="auto"/>
            </w:pPr>
            <w:r>
              <w:rPr>
                <w:rFonts w:ascii="Calibri" w:hAnsi="Calibri"/>
                <w:b/>
                <w:color w:val="1E40AF"/>
                <w:sz w:val="19"/>
              </w:rPr>
              <w:t>▶ Paso 2: Convección Natural en Espacio Confinado de Gas Seco</w:t>
            </w:r>
          </w:p>
          <w:p>
            <w:pPr>
              <w:keepLines/>
              <w:spacing w:before="0" w:after="60" w:line="276" w:lineRule="auto"/>
              <w:jc w:val="both"/>
            </w:pPr>
            <w:r>
              <w:rPr>
                <w:rFonts w:ascii="Calibri" w:hAnsi="Calibri"/>
                <w:color w:val="1F2937"/>
                <w:sz w:val="18"/>
              </w:rPr>
              <w:t>Fundamento Teórico: En una cavidad vertical de espesor d = 10 mm con gradiente térmico horizontal, el movimiento del aire se rige por el número de Rayleigh (Ra). Para aire a temperatura media de 21 °C con propiedades cinemáticas estándar:</w:t>
            </w:r>
          </w:p>
          <w:p>
            <w:pPr>
              <w:jc w:val="center"/>
              <w:keepLines/>
              <w:spacing w:before="60" w:after="60"/>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keepLines/>
              <w:spacing w:before="60" w:after="60"/>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keepLines/>
              <w:spacing w:before="60" w:after="60"/>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convección natural en la cámara de gas aporta un coeficiente de película de 4.40 W/m²K, amortiguando drásticamente el flujo convectivo.</w:t>
            </w:r>
          </w:p>
          <w:p>
            <w:pPr>
              <w:keepLines/>
              <w:spacing w:before="120" w:after="40" w:line="276" w:lineRule="auto"/>
            </w:pPr>
            <w:r>
              <w:rPr>
                <w:rFonts w:ascii="Calibri" w:hAnsi="Calibri"/>
                <w:b/>
                <w:color w:val="1E40AF"/>
                <w:sz w:val="19"/>
              </w:rPr>
              <w:t>▶ Paso 3: Coeficiente Global Certificado y Flujo Térmico Total en Puerta</w:t>
            </w:r>
          </w:p>
          <w:p>
            <w:pPr>
              <w:keepLines/>
              <w:spacing w:before="0" w:after="60" w:line="276" w:lineRule="auto"/>
              <w:jc w:val="both"/>
            </w:pPr>
            <w:r>
              <w:rPr>
                <w:rFonts w:ascii="Calibri" w:hAnsi="Calibri"/>
                <w:color w:val="1F2937"/>
                <w:sz w:val="18"/>
              </w:rPr>
              <w:t>Fundamento Teórico: Sumando las resistencias térmicas de las dos capas de vidrio (e = 4 mm, k = 1.0 W/m·K), la cámara intermedia y los coeficientes de película exterior (h_e = 25 W/m²K) e interior (h_i = 8 W/m²K):</w:t>
            </w:r>
          </w:p>
          <w:p>
            <w:pPr>
              <w:jc w:val="center"/>
              <w:keepLines/>
              <w:spacing w:before="60" w:after="60"/>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keepLines/>
              <w:spacing w:before="60" w:after="60"/>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frontal transfiere 102.41 W bajo el clima canicular de 42 °C, perfectamente absorbidos por el ciclo frigorífico.</w:t>
            </w:r>
          </w:p>
          <w:p>
            <w:pPr>
              <w:keepLines/>
              <w:spacing w:before="120" w:after="40" w:line="276" w:lineRule="auto"/>
            </w:pPr>
            <w:r>
              <w:rPr>
                <w:rFonts w:ascii="Calibri" w:hAnsi="Calibri"/>
                <w:b/>
                <w:color w:val="1E40AF"/>
                <w:sz w:val="19"/>
              </w:rPr>
              <w:t>▶ Paso 4: Verificación Térmica de Prevención de Condensación Superficial</w:t>
            </w:r>
          </w:p>
          <w:p>
            <w:pPr>
              <w:keepLines/>
              <w:spacing w:before="0" w:after="60" w:line="276" w:lineRule="auto"/>
              <w:jc w:val="both"/>
            </w:pPr>
            <w:r>
              <w:rPr>
                <w:rFonts w:ascii="Calibri" w:hAnsi="Calibri"/>
                <w:color w:val="1F2937"/>
                <w:sz w:val="18"/>
              </w:rPr>
              <w:t>Fundamento Teórico: La temperatura superficial exterior del vidrio debe permanecer estrictamente por encima de la temperatura de punto de rocío del aire circundante (T_rocío = 33.8 °C para aire de Monterrey a 42 °C con 65% de humedad relativa):</w:t>
            </w:r>
          </w:p>
          <w:p>
            <w:pPr>
              <w:jc w:val="center"/>
              <w:keepLines/>
              <w:spacing w:before="60" w:after="60"/>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keepLines/>
              <w:spacing w:before="60" w:after="60"/>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la temperatura exterior del cristal se mantiene 3.89 °C por encima del punto de rocío, el vidrio no presenta condensación externa ni empañamiento en ningún momento del día.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doble acristalamiento templado limita el flujo térmico a 102.4 W y garantiza una temperatura exterior de 37.7 °C, impidiendo que el cristal se empañe ante la humedad exterior de Monterrey.</w:t>
            </w:r>
          </w:p>
        </w:tc>
      </w:tr>
    </w:tbl>
    <w:p>
      <w:pPr>
        <w:spacing w:before="0" w:after="80"/>
      </w:pPr>
    </w:p>
    <w:p>
      <w:pPr>
        <w:keepNext/>
        <w:spacing w:before="260" w:after="80"/>
        <w:pBdr>
          <w:bottom w:val="single" w:sz="6" w:space="2" w:color="1E40AF"/>
        </w:pBdr>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10: BALANCE ENERGÉTICO DIARIO Y ANÁLISIS DE CICLO DE VIDA (LCA - CO2)</w:t>
              <w:br/>
            </w:r>
            <w:r>
              <w:rPr>
                <w:rFonts w:ascii="Calibri" w:hAnsi="Calibri"/>
                <w:i/>
                <w:color w:val="1F2937"/>
                <w:sz w:val="19"/>
              </w:rPr>
              <w:t>Evaluación del consumo energético en 24 horas, costo en tarifa comercial CFE PDBT y cálculo de mitigación de gases de efecto invernadero frente a motonetas de entrega a domicilio.</w:t>
              <w:br/>
            </w:r>
          </w:p>
          <w:p>
            <w:pPr>
              <w:keepLines/>
              <w:spacing w:before="40" w:after="40" w:line="276" w:lineRule="auto"/>
            </w:pPr>
            <w:r>
              <w:rPr>
                <w:rFonts w:ascii="Calibri" w:hAnsi="Calibri"/>
                <w:b/>
                <w:color w:val="1E40AF"/>
                <w:sz w:val="19"/>
              </w:rPr>
              <w:t>▶ Paso 1: Ciclo de Trabajo Térmico del Compresor y Potencia Media Activa</w:t>
            </w:r>
          </w:p>
          <w:p>
            <w:pPr>
              <w:keepLines/>
              <w:spacing w:before="0" w:after="60" w:line="276" w:lineRule="auto"/>
              <w:jc w:val="both"/>
            </w:pPr>
            <w:r>
              <w:rPr>
                <w:rFonts w:ascii="Calibri" w:hAnsi="Calibri"/>
                <w:color w:val="1F2937"/>
                <w:sz w:val="18"/>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keepLines/>
              <w:spacing w:before="60" w:after="60"/>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keepLines/>
              <w:spacing w:before="60" w:after="60"/>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compresor permanece encendido menos de 30 minutos por cada hora de operación, consumiendo un promedio temporal de 139.9 W.</w:t>
            </w:r>
          </w:p>
          <w:p>
            <w:pPr>
              <w:keepLines/>
              <w:spacing w:before="120" w:after="40" w:line="276" w:lineRule="auto"/>
            </w:pPr>
            <w:r>
              <w:rPr>
                <w:rFonts w:ascii="Calibri" w:hAnsi="Calibri"/>
                <w:b/>
                <w:color w:val="1E40AF"/>
                <w:sz w:val="19"/>
              </w:rPr>
              <w:t>▶ Paso 2: Consumo Eléctrico Diario Total en Kilovatios-Hora (kWh/día)</w:t>
            </w:r>
          </w:p>
          <w:p>
            <w:pPr>
              <w:keepLines/>
              <w:spacing w:before="0" w:after="60" w:line="276" w:lineRule="auto"/>
              <w:jc w:val="both"/>
            </w:pPr>
            <w:r>
              <w:rPr>
                <w:rFonts w:ascii="Calibri" w:hAnsi="Calibri"/>
                <w:color w:val="1F2937"/>
                <w:sz w:val="18"/>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keepLines/>
              <w:spacing w:before="60" w:after="60"/>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keepLines/>
              <w:spacing w:before="60" w:after="60"/>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keepLines/>
              <w:spacing w:before="60" w:after="60"/>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máquina demanda 5.71 kWh por día completo de operación continua 24/7/365.</w:t>
            </w:r>
          </w:p>
          <w:p>
            <w:pPr>
              <w:keepLines/>
              <w:spacing w:before="120" w:after="40" w:line="276" w:lineRule="auto"/>
            </w:pPr>
            <w:r>
              <w:rPr>
                <w:rFonts w:ascii="Calibri" w:hAnsi="Calibri"/>
                <w:b/>
                <w:color w:val="1E40AF"/>
                <w:sz w:val="19"/>
              </w:rPr>
              <w:t>▶ Paso 3: Costo Económico Energético Comercial bajo Tarifa CFE PDBT</w:t>
            </w:r>
          </w:p>
          <w:p>
            <w:pPr>
              <w:keepLines/>
              <w:spacing w:before="0" w:after="60" w:line="276" w:lineRule="auto"/>
              <w:jc w:val="both"/>
            </w:pPr>
            <w:r>
              <w:rPr>
                <w:rFonts w:ascii="Calibri" w:hAnsi="Calibri"/>
                <w:color w:val="1F2937"/>
                <w:sz w:val="18"/>
              </w:rPr>
              <w:t>Fundamento Teórico: Aplicando el tabulador oficial de la Comisión Federal de Electricidad (CFE) para Pequeña Demanda en Baja Tensión comercial en San Nicolás de los Garza ($3.25 MXN por kWh consumido con IVA incluido):</w:t>
            </w:r>
          </w:p>
          <w:p>
            <w:pPr>
              <w:jc w:val="center"/>
              <w:keepLines/>
              <w:spacing w:before="60" w:after="60"/>
            </w:pPr>
            <m:oMathPara>
              <m:oMath>
                <m:sSub>
                  <m:e>
                    <m:r>
                      <m:rPr>
                        <m:nor/>
                      </m:rPr>
                      <m:t>Costo</m:t>
                    </m:r>
                  </m:e>
                  <m:sub>
                    <m:r>
                      <m:rPr>
                        <m:nor/>
                      </m:rPr>
                      <m:t>diario</m:t>
                    </m:r>
                  </m:sub>
                </m:sSub>
                <m:r>
                  <m:t>=(5.710</m:t>
                </m:r>
                <m:r>
                  <m:rPr>
                    <m:nor/>
                  </m:rPr>
                  <m:t> kWh/dia</m:t>
                </m:r>
                <m:r>
                  <m:t>)·(</m:t>
                </m:r>
                <m:r>
                  <m:rPr>
                    <m:nor/>
                  </m:rPr>
                  <m:t>$</m:t>
                </m:r>
                <m:r>
                  <m:t>3.25</m:t>
                </m:r>
                <m:r>
                  <m:rPr>
                    <m:nor/>
                  </m:rPr>
                  <m:t> MXN/kWh</m:t>
                </m:r>
                <m:r>
                  <m:t>)=</m:t>
                </m:r>
                <m:r>
                  <m:rPr>
                    <m:nor/>
                  </m:rPr>
                  <m:t>$</m:t>
                </m:r>
                <m:r>
                  <m:t>18.56</m:t>
                </m:r>
                <m:r>
                  <m:rPr>
                    <m:nor/>
                  </m:rPr>
                  <m:t> MXN/dia</m:t>
                </m:r>
              </m:oMath>
            </m:oMathPara>
          </w:p>
          <w:p>
            <w:pPr>
              <w:jc w:val="center"/>
              <w:keepLines/>
              <w:spacing w:before="60" w:after="60"/>
            </w:pPr>
            <m:oMathPara>
              <m:oMath>
                <m:sSub>
                  <m:e>
                    <m:r>
                      <m:rPr>
                        <m:nor/>
                      </m:rPr>
                      <m:t>Costo</m:t>
                    </m:r>
                  </m:e>
                  <m:sub>
                    <m:r>
                      <m:rPr>
                        <m:nor/>
                      </m:rPr>
                      <m:t>mensual</m:t>
                    </m:r>
                  </m:sub>
                </m:sSub>
                <m:r>
                  <m:t>=(171.30</m:t>
                </m:r>
                <m:r>
                  <m:rPr>
                    <m:nor/>
                  </m:rPr>
                  <m:t> kWh/mes</m:t>
                </m:r>
                <m:r>
                  <m:t>)·(</m:t>
                </m:r>
                <m:r>
                  <m:rPr>
                    <m:nor/>
                  </m:rPr>
                  <m:t>$</m:t>
                </m:r>
                <m:r>
                  <m:t>3.25</m:t>
                </m:r>
                <m:r>
                  <m:rPr>
                    <m:nor/>
                  </m:rPr>
                  <m:t> MXN/kWh</m:t>
                </m:r>
                <m:r>
                  <m:t>)=</m:t>
                </m:r>
                <m:r>
                  <m:rPr>
                    <m:nor/>
                  </m:rPr>
                  <m:t>$</m:t>
                </m:r>
                <m:r>
                  <m:t>556.73</m:t>
                </m:r>
                <m:r>
                  <m:rPr>
                    <m:nor/>
                  </m:rPr>
                  <m:t> MXN/mes</m:t>
                </m:r>
              </m:oMath>
            </m:oMathPara>
          </w:p>
          <w:p>
            <w:pPr>
              <w:jc w:val="center"/>
              <w:keepLines/>
              <w:spacing w:before="60" w:after="60"/>
            </w:pPr>
            <m:oMathPara>
              <m:oMath>
                <m:sSub>
                  <m:e>
                    <m:r>
                      <m:rPr>
                        <m:nor/>
                      </m:rPr>
                      <m:t>Costo</m:t>
                    </m:r>
                  </m:e>
                  <m:sub>
                    <m:r>
                      <m:rPr>
                        <m:nor/>
                      </m:rPr>
                      <m:t>energia por racion vendida</m:t>
                    </m:r>
                  </m:sub>
                </m:sSub>
                <m:r>
                  <m:t>=</m:t>
                </m:r>
                <m:f>
                  <m:fPr>
                    <m:type m:val="bar"/>
                  </m:fPr>
                  <m:num>
                    <m:r>
                      <m:rPr>
                        <m:nor/>
                      </m:rPr>
                      <m:t>$</m:t>
                    </m:r>
                    <m:r>
                      <m:t>18.56</m:t>
                    </m:r>
                    <m:r>
                      <m:rPr>
                        <m:nor/>
                      </m:rPr>
                      <m:t> MXN/dia</m:t>
                    </m:r>
                  </m:num>
                  <m:den>
                    <m:r>
                      <m:t>60</m:t>
                    </m:r>
                    <m:r>
                      <m:rPr>
                        <m:nor/>
                      </m:rPr>
                      <m:t> comidas promedio/dia</m:t>
                    </m:r>
                  </m:den>
                </m:f>
                <m:r>
                  <m:t>=</m:t>
                </m:r>
                <m:r>
                  <m:rPr>
                    <m:nor/>
                  </m:rPr>
                  <m:t>$</m:t>
                </m:r>
                <m:r>
                  <m:t>0.309</m:t>
                </m:r>
                <m:r>
                  <m:rPr>
                    <m:nor/>
                  </m:rPr>
                  <m:t> MXN/comida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impacto energético sobre el precio final de cada platillo casero ($120 MXN) es de apenas 31 centavos de peso, confirmando una eficiencia económica insuperable.</w:t>
            </w:r>
          </w:p>
          <w:p>
            <w:pPr>
              <w:keepLines/>
              <w:spacing w:before="120" w:after="40" w:line="276" w:lineRule="auto"/>
            </w:pPr>
            <w:r>
              <w:rPr>
                <w:rFonts w:ascii="Calibri" w:hAnsi="Calibri"/>
                <w:b/>
                <w:color w:val="1E40AF"/>
                <w:sz w:val="19"/>
              </w:rPr>
              <w:t>▶ Paso 4: Análisis de Ciclo de Vida (LCA) y Mitigación de Huella de Carbono vs Delivery</w:t>
            </w:r>
          </w:p>
          <w:p>
            <w:pPr>
              <w:keepLines/>
              <w:spacing w:before="0" w:after="60" w:line="276" w:lineRule="auto"/>
              <w:jc w:val="both"/>
            </w:pPr>
            <w:r>
              <w:rPr>
                <w:rFonts w:ascii="Calibri" w:hAnsi="Calibri"/>
                <w:color w:val="1F2937"/>
                <w:sz w:val="18"/>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keepLines/>
              <w:spacing w:before="60" w:after="60"/>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keepLines/>
              <w:spacing w:before="60" w:after="60"/>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keepLines/>
              <w:spacing w:before="60" w:after="60"/>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modelo desatendido de XpendeX reduce la huella de carbono en un 96.65% respecto a las aplicaciones de entrega a domicilio, evitando la emisión de prácticamente 30 toneladas de CO2 al año por cada unidad instalada.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consumo de solo 5.71 kWh/día ($18.56 MXN diarios) y un costo energético de $0.31 MXN por comida, XpendeX mitiga el 96.6% de las emisiones de CO2 de las plataformas de delivery, ahorrando 30 toneladas de CO2 anuales.</w:t>
            </w:r>
          </w:p>
        </w:tc>
      </w:tr>
    </w:tbl>
    <w:p>
      <w:pPr>
        <w:spacing w:before="0" w:after="80"/>
      </w:pPr>
    </w:p>
    <w:p>
      <w:pPr>
        <w:keepNext/>
        <w:spacing w:before="320" w:after="80"/>
        <w:pBdr>
          <w:bottom w:val="single" w:sz="12" w:space="3" w:color="0F2C59"/>
        </w:pBdr>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color w:val="1F2937"/>
          <w:sz w:val="20"/>
        </w:rPr>
        <w:t>Para materializar físicamente el Micro-Restaurante Automatizado 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jc w:val="both"/>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jc w:val="both"/>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jc w:val="both"/>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jc w:val="both"/>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jc w:val="both"/>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jc w:val="both"/>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60"/>
        <w:jc w:val="both"/>
      </w:pPr>
      <w:r>
        <w:rPr>
          <w:rFonts w:ascii="Calibri" w:hAnsi="Calibri"/>
          <w:b/>
          <w:color w:val="1F2937"/>
          <w:sz w:val="20"/>
        </w:rPr>
        <w:t xml:space="preserve">Arquitectura 1+4+1 y Cinemática de Despacho: </w:t>
      </w:r>
      <w:r>
        <w:rPr>
          <w:rFonts w:ascii="Calibri" w:hAnsi="Calibri"/>
          <w:color w:val="1F2937"/>
          <w:sz w:val="20"/>
        </w:rPr>
        <w:t>Distribución Cinemática Híbrida 1+4+1 por Bandeja (6 Canales por Nivel, 36 Canales en Total):</w:t>
      </w:r>
    </w:p>
    <w:p>
      <w:pPr>
        <w:spacing w:line="276" w:lineRule="auto" w:before="0" w:after="60"/>
        <w:jc w:val="both"/>
      </w:pPr>
      <w:r>
        <w:rPr>
          <w:rFonts w:ascii="Calibri" w:hAnsi="Calibri"/>
          <w:color w:val="1F2937"/>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jc w:val="both"/>
      </w:pPr>
      <w:r>
        <w:rPr>
          <w:rFonts w:ascii="Calibri" w:hAnsi="Calibri"/>
          <w:color w:val="1F2937"/>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80"/>
        <w:jc w:val="both"/>
      </w:pPr>
      <w:r>
        <w:rPr>
          <w:rFonts w:ascii="Calibri" w:hAnsi="Calibri"/>
          <w:color w:val="1F2937"/>
          <w:sz w:val="20"/>
        </w:rPr>
        <w:t>• Accionamiento y Homing Cero Grados: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b/>
          <w:color w:val="1F2937"/>
          <w:sz w:val="20"/>
        </w:rPr>
        <w:t xml:space="preserve">Placa de Potencia Matricial 6x6 de Estado Sólido: </w:t>
      </w:r>
      <w:r>
        <w:rPr>
          <w:rFonts w:ascii="Calibri" w:hAnsi="Calibri"/>
          <w:color w:val="1F2937"/>
          <w:sz w:val="20"/>
        </w:rPr>
        <w:t>La unidad de procesamiento y potencia de 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jc w:val="both"/>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jc w:val="both"/>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jc w:val="both"/>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jc w:val="both"/>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jc w:val="both"/>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jc w:val="both"/>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pPr>
      <w:r>
        <w:rPr>
          <w:rFonts w:ascii="Calibri" w:hAnsi="Calibri"/>
          <w:b/>
          <w:color w:val="1E40AF"/>
          <w:sz w:val="24"/>
        </w:rPr>
        <w:t>6.5 Ecosistema de Software Full-Stack, Motor de Temas WCAG 2.1 AAA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La infraestructura digital de XpendeX conforma un ecosistema de software responsivo desacoplado en tres capas fundamentales:</w:t>
      </w:r>
    </w:p>
    <w:p>
      <w:pPr>
        <w:spacing w:line="276" w:lineRule="auto" w:before="0" w:after="60"/>
        <w:jc w:val="both"/>
      </w:pPr>
      <w:r>
        <w:rPr>
          <w:rFonts w:ascii="Calibri" w:hAnsi="Calibri"/>
          <w:color w:val="1F2937"/>
          <w:sz w:val="20"/>
        </w:rPr>
        <w:t>• Quiosco Interactivo del Cliente (HMI Táctil de 10.1"):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jc w:val="both"/>
      </w:pPr>
      <w:r>
        <w:rPr>
          <w:rFonts w:ascii="Calibri" w:hAnsi="Calibri"/>
          <w:color w:val="1F2937"/>
          <w:sz w:val="20"/>
        </w:rPr>
        <w:t>• Motor Dinámico de Temas y Accesibilidad Visual (WCAG 2.1 AAA):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60"/>
        <w:jc w:val="both"/>
      </w:pPr>
      <w:r>
        <w:rPr>
          <w:rFonts w:ascii="Calibri" w:hAnsi="Calibri"/>
          <w:color w:val="1F2937"/>
          <w:sz w:val="20"/>
        </w:rPr>
        <w:t>L = 0.2126 · R_sRGB + 0.7152 · G_sRGB + 0.0722 · B_sRGB</w:t>
      </w:r>
    </w:p>
    <w:p>
      <w:pPr>
        <w:spacing w:line="276" w:lineRule="auto" w:before="0" w:after="60"/>
        <w:jc w:val="both"/>
      </w:pPr>
      <w:r>
        <w:rPr>
          <w:rFonts w:ascii="Calibri" w:hAnsi="Calibri"/>
          <w:color w:val="1F2937"/>
          <w:sz w:val="20"/>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80"/>
        <w:jc w:val="both"/>
      </w:pPr>
      <w:r>
        <w:rPr>
          <w:rFonts w:ascii="Calibri" w:hAnsi="Calibri"/>
          <w:color w:val="1F2937"/>
          <w:sz w:val="20"/>
        </w:rPr>
        <w:t>• Portal Administrativo del Dueño y Gestor Multi-Ranura FIFO: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pPr>
      <w:r>
        <w:rPr>
          <w:rFonts w:ascii="Calibri" w:hAnsi="Calibri"/>
          <w:b/>
          <w:color w:val="1E40AF"/>
          <w:sz w:val="24"/>
        </w:rPr>
        <w:t>6.6 Procesos de Taller Mecánico, Corte Láser CNC y Tolerancias Geométricas ISO 2768-m</w:t>
      </w:r>
    </w:p>
    <w:p>
      <w:pPr>
        <w:spacing w:line="276" w:lineRule="auto" w:before="0" w:after="60"/>
        <w:jc w:val="both"/>
      </w:pPr>
      <w:r>
        <w:rPr>
          <w:rFonts w:ascii="Calibri" w:hAnsi="Calibri"/>
          <w:b/>
          <w:color w:val="1F2937"/>
          <w:sz w:val="20"/>
        </w:rPr>
        <w:t xml:space="preserve">Manufactura en Taller Mecánico Local: </w:t>
      </w:r>
      <w:r>
        <w:rPr>
          <w:rFonts w:ascii="Calibri" w:hAnsi="Calibri"/>
          <w:color w:val="1F2937"/>
          <w:sz w:val="20"/>
        </w:rPr>
        <w:t>La fabricación integral del chasis, bandejas y cerramientos se realiza mediante procesos estandarizados de taller mecánico en Monterrey:</w:t>
      </w:r>
    </w:p>
    <w:p>
      <w:pPr>
        <w:spacing w:line="276" w:lineRule="auto" w:before="0" w:after="60"/>
        <w:jc w:val="both"/>
      </w:pPr>
      <w:r>
        <w:rPr>
          <w:rFonts w:ascii="Calibri" w:hAnsi="Calibri"/>
          <w:color w:val="1F2937"/>
          <w:sz w:val="20"/>
        </w:rPr>
        <w:t>• Corte de Chapa por Láser CNC por Fibra Óptica (ISO 9013-332):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jc w:val="both"/>
      </w:pPr>
      <w:r>
        <w:rPr>
          <w:rFonts w:ascii="Calibri" w:hAnsi="Calibri"/>
          <w:color w:val="1F2937"/>
          <w:sz w:val="20"/>
        </w:rPr>
        <w:t>• Plegado en Prensa Dobladora Hidráulica CNC (ISO 2768-m):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60"/>
        <w:jc w:val="both"/>
      </w:pPr>
      <w:r>
        <w:rPr>
          <w:rFonts w:ascii="Calibri" w:hAnsi="Calibri"/>
          <w:color w:val="1F2937"/>
          <w:sz w:val="20"/>
        </w:rPr>
        <w:t>BA = π · (R_int + K · T) · (A / 180)</w:t>
      </w:r>
    </w:p>
    <w:p>
      <w:pPr>
        <w:spacing w:line="276" w:lineRule="auto" w:before="0" w:after="60"/>
        <w:jc w:val="both"/>
      </w:pPr>
      <w:r>
        <w:rPr>
          <w:rFonts w:ascii="Calibri" w:hAnsi="Calibri"/>
          <w:color w:val="1F2937"/>
          <w:sz w:val="20"/>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jc w:val="both"/>
      </w:pPr>
      <w:r>
        <w:rPr>
          <w:rFonts w:ascii="Calibri" w:hAnsi="Calibri"/>
          <w:color w:val="1F2937"/>
          <w:sz w:val="20"/>
        </w:rPr>
        <w:t>• Ensamble Estructural mediante Soldadura MIG/GMAW (AWS D1.1):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80"/>
        <w:jc w:val="both"/>
      </w:pPr>
      <w:r>
        <w:rPr>
          <w:rFonts w:ascii="Calibri" w:hAnsi="Calibri"/>
          <w:color w:val="1F2937"/>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pPr>
      <w:r>
        <w:rPr>
          <w:rFonts w:ascii="Calibri" w:hAnsi="Calibri"/>
          <w:b/>
          <w:color w:val="1E40AF"/>
          <w:sz w:val="24"/>
        </w:rPr>
        <w:t>6.7 Topología de Redes de Comunicación, Protocolo MQTT y WebSockets Cifrados</w:t>
      </w:r>
    </w:p>
    <w:p>
      <w:pPr>
        <w:spacing w:line="276" w:lineRule="auto" w:before="0" w:after="60"/>
        <w:jc w:val="both"/>
      </w:pPr>
      <w:r>
        <w:rPr>
          <w:rFonts w:ascii="Calibri" w:hAnsi="Calibri"/>
          <w:b/>
          <w:color w:val="1F2937"/>
          <w:sz w:val="20"/>
        </w:rPr>
        <w:t xml:space="preserve">Aislamiento de Canales Transaccionales y Locales: </w:t>
      </w:r>
      <w:r>
        <w:rPr>
          <w:rFonts w:ascii="Calibri" w:hAnsi="Calibri"/>
          <w:color w:val="1F2937"/>
          <w:sz w:val="20"/>
        </w:rPr>
        <w:t>La arquitectura de conectividad de XpendeX implementa una separación lógica y física de canales de transmisión para garantizar la máxima tolerancia a fallos en entornos universitarios e industriales con alta interferencia electromagnética:</w:t>
      </w:r>
    </w:p>
    <w:p>
      <w:pPr>
        <w:spacing w:line="276" w:lineRule="auto" w:before="0" w:after="60"/>
        <w:jc w:val="both"/>
      </w:pPr>
      <w:r>
        <w:rPr>
          <w:rFonts w:ascii="Calibri" w:hAnsi="Calibri"/>
          <w:color w:val="1F2937"/>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jc w:val="both"/>
      </w:pPr>
      <w:r>
        <w:rPr>
          <w:rFonts w:ascii="Calibri" w:hAnsi="Calibri"/>
          <w:color w:val="1F2937"/>
          <w:sz w:val="20"/>
        </w:rPr>
        <w:t>• Canal de Telemetría y Monitoreo Térmico (WebSockets WSS):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80"/>
        <w:jc w:val="both"/>
      </w:pPr>
      <w:r>
        <w:rPr>
          <w:rFonts w:ascii="Calibri" w:hAnsi="Calibri"/>
          <w:color w:val="1F2937"/>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pPr>
      <w:r>
        <w:rPr>
          <w:rFonts w:ascii="Calibri" w:hAnsi="Calibri"/>
          <w:b/>
          <w:color w:val="1E40AF"/>
          <w:sz w:val="24"/>
        </w:rPr>
        <w:t>6.8 Arquitectura de Seguridad Informática y Firma Criptográfica HMAC-SHA256</w:t>
      </w:r>
    </w:p>
    <w:p>
      <w:pPr>
        <w:spacing w:line="276" w:lineRule="auto" w:before="0" w:after="60"/>
        <w:jc w:val="both"/>
      </w:pPr>
      <w:r>
        <w:rPr>
          <w:rFonts w:ascii="Calibri" w:hAnsi="Calibri"/>
          <w:b/>
          <w:color w:val="1F2937"/>
          <w:sz w:val="20"/>
        </w:rPr>
        <w:t xml:space="preserve">Protocolo de Seguridad Transaccional Cashless: </w:t>
      </w:r>
      <w:r>
        <w:rPr>
          <w:rFonts w:ascii="Calibri" w:hAnsi="Calibri"/>
          <w:color w:val="1F2937"/>
          <w:sz w:val="20"/>
        </w:rPr>
        <w:t>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60"/>
        <w:jc w:val="both"/>
      </w:pPr>
      <w:r>
        <w:rPr>
          <w:rFonts w:ascii="Calibri" w:hAnsi="Calibri"/>
          <w:color w:val="1F2937"/>
          <w:sz w:val="20"/>
        </w:rPr>
        <w:t>Firma = HMAC-SHA256(Clave_Secreta, Timestamp + '.' + Data_ID)</w:t>
      </w:r>
    </w:p>
    <w:p>
      <w:pPr>
        <w:spacing w:line="276" w:lineRule="auto" w:before="0" w:after="80"/>
        <w:jc w:val="both"/>
      </w:pPr>
      <w:r>
        <w:rPr>
          <w:rFonts w:ascii="Calibri" w:hAnsi="Calibri"/>
          <w:color w:val="1F2937"/>
          <w:sz w:val="20"/>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pPr>
      <w:r>
        <w:rPr>
          <w:rFonts w:ascii="Calibri" w:hAnsi="Calibri"/>
          <w:b/>
          <w:color w:val="0F2C59"/>
          <w:sz w:val="28"/>
        </w:rPr>
        <w:t>7.0 COMPARACIÓN DE SOLUCIONES EXISTENTES</w:t>
      </w:r>
    </w:p>
    <w:p>
      <w:pPr>
        <w:spacing w:line="276" w:lineRule="auto" w:before="0" w:after="80"/>
        <w:jc w:val="both"/>
      </w:pPr>
      <w:r>
        <w:rPr>
          <w:rFonts w:ascii="Calibri" w:hAnsi="Calibri"/>
          <w:color w:val="1F2937"/>
          <w:sz w:val="20"/>
        </w:rPr>
        <w:t>A continuación se presenta el análisis comparativo formal entre las soluciones tecnológicas disponibles en el mercado internacional y la propuesta del Micro-Restaurante Automatizado Híbrido XpendeX, evaluando tanto parámetros mecatrónicos como viabilidad económica.</w:t>
      </w:r>
    </w:p>
    <w:p>
      <w:pPr>
        <w:keepNext/>
        <w:spacing w:before="260" w:after="80"/>
        <w:pBdr>
          <w:bottom w:val="single" w:sz="6" w:space="2" w:color="1E40AF"/>
        </w:pBdr>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(12 comida casera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(ΔT vertical ≤ 1.1 °C con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Ø 144 mm + estándar Ø 70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Cumplimiento estricto: Bloqueo a 14h y retiro diario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en PCB EasyEDA con MOSFETs e IPC-2221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Multi-Ranura dinámica con despacho secuencial FIFO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10.1" IPS + Motor 4 Paletas WCAG 2.1 AAA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 MXN (Fabricación en taller mecánico MTY)</w:t>
            </w:r>
          </w:p>
        </w:tc>
      </w:tr>
    </w:tbl>
    <w:p>
      <w:pPr>
        <w:keepNext/>
        <w:spacing w:before="260" w:after="80"/>
        <w:pBdr>
          <w:bottom w:val="single" w:sz="6" w:space="2" w:color="1E40AF"/>
        </w:pBdr>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b/>
          <w:color w:val="1F2937"/>
          <w:sz w:val="20"/>
        </w:rPr>
        <w:t xml:space="preserve">Trade-off de Actuadores Electromecánicos: </w:t>
      </w:r>
      <w:r>
        <w:rPr>
          <w:rFonts w:ascii="Calibri" w:hAnsi="Calibri"/>
          <w:color w:val="1F2937"/>
          <w:sz w:val="20"/>
        </w:rPr>
        <w:t>Una decisión de ingeniería mecatrónica crítica en el diseño de 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SOLENOIDE LINEAL DE TIRO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pero solo carrera lineal corta (10 - 25 mm).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relevadores o transistores de pulso de alta corriente (&gt; 3 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en reposo, pero disipación pico excesiva en accionamiento.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Incapaz de desarrollar movimiento rotativo continuo para espirales.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Final de carrera interno en solenoide.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2 conductores por solenoide (72 cables).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$290 MXN (Solenoide lineal industrial de alto empuje)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(Incompatible con giro continuo helicoidal de alimentos).</w:t>
            </w:r>
          </w:p>
        </w:tc>
      </w:tr>
    </w:tbl>
    <w:p>
      <w:pPr>
        <w:keepNext/>
        <w:spacing w:before="180" w:after="60"/>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MATRICIAL FIFO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Matriz ortogonal 6x6 High-Side (P-MOSFET) + Low-Side (N-MOSFET)</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pines GPIO del ESP32 desacoplados con 12 optos PC817C</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5,000 Vrms mediante optoacopladores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dedicados + supresión RC Snubber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automática a ranura secundaria (FIFO) en &lt; 49 ms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de potencia de 3.50 mm (138 mils) diseñadas según IPC-2221B</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$1,850 MXN (PCB EasyEDA + componentes JLCPCB)</w:t>
            </w:r>
          </w:p>
        </w:tc>
      </w:tr>
    </w:tbl>
    <w:p>
      <w:pPr>
        <w:keepNext/>
        <w:spacing w:before="260" w:after="80"/>
        <w:pBdr>
          <w:bottom w:val="single" w:sz="6" w:space="2" w:color="1E40AF"/>
        </w:pBdr>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b/>
          <w:color w:val="1F2937"/>
          <w:sz w:val="20"/>
        </w:rPr>
        <w:t xml:space="preserve">Memoria Financiera Multianual Descontada: </w:t>
      </w:r>
      <w:r>
        <w:rPr>
          <w:rFonts w:ascii="Calibri" w:hAnsi="Calibri"/>
          <w:color w:val="1F2937"/>
          <w:sz w:val="20"/>
        </w:rPr>
        <w:t>El Análisis de Costo de Ciclo de Vida (Life Cycle Costing - LCC) confirma que el costo de fabricación inicial de 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$46,463 MXN (Taller Local MTY)</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 MXN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MXN (Modular EasyEDA)</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$6,000 MXN (Limpieza y revisión)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$31,800 MXN (Compresor R134a 1/5 HP)</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MXN (Retiro diario a lonchería)</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$4,800 MXN (SIM IoT 4G prepago)</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$101,363 MXN (AHORRO DEL 68% A 75%)</w:t>
            </w:r>
          </w:p>
        </w:tc>
      </w:tr>
    </w:tbl>
    <w:p>
      <w:pPr>
        <w:keepNext/>
        <w:spacing w:before="320" w:after="80"/>
        <w:pBdr>
          <w:bottom w:val="single" w:sz="12" w:space="3" w:color="0F2C59"/>
        </w:pBdr>
      </w:pPr>
      <w:r>
        <w:rPr>
          <w:rFonts w:ascii="Calibri" w:hAnsi="Calibri"/>
          <w:b/>
          <w:color w:val="0F2C59"/>
          <w:sz w:val="28"/>
        </w:rPr>
        <w:t>8.0 NORMAS Y ESTÁNDARES APLICABLES</w:t>
      </w:r>
    </w:p>
    <w:p>
      <w:pPr>
        <w:spacing w:line="276" w:lineRule="auto" w:before="0" w:after="80"/>
        <w:jc w:val="both"/>
      </w:pPr>
      <w:r>
        <w:rPr>
          <w:rFonts w:ascii="Calibri" w:hAnsi="Calibri"/>
          <w:color w:val="1F2937"/>
          <w:sz w:val="20"/>
        </w:rPr>
        <w:t>El diseño, cálculo y validación experimental del Micro-Restaurante Automatizado 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pPr>
      <w:r>
        <w:rPr>
          <w:rFonts w:ascii="Calibri" w:hAnsi="Calibri"/>
          <w:b/>
          <w:color w:val="1E40AF"/>
          <w:sz w:val="24"/>
        </w:rPr>
        <w:t>8.1 Normas Oficiales Mexicanas (NOM)</w:t>
      </w:r>
    </w:p>
    <w:p>
      <w:pPr>
        <w:spacing w:line="276" w:lineRule="auto" w:before="0" w:after="80"/>
        <w:jc w:val="both"/>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jc w:val="both"/>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jc w:val="both"/>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jc w:val="both"/>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jc w:val="center"/>
      </w:pPr>
      <w:r>
        <w:drawing>
          <wp:inline xmlns:a="http://schemas.openxmlformats.org/drawingml/2006/main" xmlns:pic="http://schemas.openxmlformats.org/drawingml/2006/picture">
            <wp:extent cx="4937760" cy="2430304"/>
            <wp:docPr id="3" name="Picture 3"/>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13"/>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8.1. </w:t>
      </w:r>
      <w:r>
        <w:rPr>
          <w:rFonts w:ascii="Calibri" w:hAnsi="Calibri"/>
          <w:i/>
          <w:color w:val="4B5563"/>
          <w:sz w:val="18"/>
        </w:rPr>
        <w:t>Evidencia de cumplimiento obligatorio de la norma NOM-051-SCFI/SSA1-2010 en la pantalla táctil de 10.1 pulgadas: despliegue transparente del contenido energético (kcal), macronutrientes (proteínas, carbohidratos, grasas) y casillas asignadas para cada combo.</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8.2. </w:t>
      </w:r>
      <w:r>
        <w:rPr>
          <w:rFonts w:ascii="Calibri" w:hAnsi="Calibri"/>
          <w:i/>
          <w:color w:val="4B5563"/>
          <w:sz w:val="18"/>
        </w:rPr>
        <w:t>Monitoreo continuo de inocuidad alimentaria y cadena de frío bajo la norma NOM-251-SSA1-2009: telemetría en tiempo real a 3.4 °C y enlace activo con el microcontrolador ESP32-S3.</w:t>
      </w:r>
    </w:p>
    <w:p>
      <w:pPr>
        <w:keepNext/>
        <w:spacing w:before="260" w:after="80"/>
        <w:pBdr>
          <w:bottom w:val="single" w:sz="6" w:space="2" w:color="1E40AF"/>
        </w:pBdr>
      </w:pPr>
      <w:r>
        <w:rPr>
          <w:rFonts w:ascii="Calibri" w:hAnsi="Calibri"/>
          <w:b/>
          <w:color w:val="1E40AF"/>
          <w:sz w:val="24"/>
        </w:rPr>
        <w:t>8.2 Estándares Internacionales de Vending, Electrónica y Manufactura</w:t>
      </w:r>
    </w:p>
    <w:p>
      <w:pPr>
        <w:spacing w:line="276" w:lineRule="auto" w:before="0" w:after="80"/>
        <w:jc w:val="both"/>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jc w:val="both"/>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jc w:val="both"/>
      </w:pPr>
      <w:r>
        <w:rPr>
          <w:rFonts w:ascii="Calibri" w:hAnsi="Calibri"/>
          <w:b/>
          <w:color w:val="1F2937"/>
          <w:sz w:val="20"/>
        </w:rPr>
        <w:t xml:space="preserve">• UL 751 / NAMA Standard for Vending Machines: </w:t>
      </w:r>
      <w:r>
        <w:rPr>
          <w:rFonts w:ascii="Calibri" w:hAnsi="Calibri"/>
          <w:color w:val="1F2937"/>
          <w:sz w:val="20"/>
        </w:rPr>
        <w:t>Rige la seguridad mecánica y estructural de máquinas expendedoras comerciales, incluyendo la prueba de estabilidad antivuelco ante fuerzas horizontales de 500 N en la parte superior (FS = 1.34 en XpendeX).</w:t>
      </w:r>
    </w:p>
    <w:p>
      <w:pPr>
        <w:spacing w:line="276" w:lineRule="auto" w:before="0" w:after="80"/>
        <w:jc w:val="both"/>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jc w:val="both"/>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jc w:val="both"/>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jc w:val="both"/>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DE ESTABILIDAD MECÁNICA Y FACTOR DE SEGURIDAD ANTIVUELCO (UL 751)</w:t>
              <w:br/>
            </w:r>
            <w:r>
              <w:rPr>
                <w:rFonts w:ascii="Calibri" w:hAnsi="Calibri"/>
                <w:i/>
                <w:color w:val="1F2937"/>
                <w:sz w:val="19"/>
              </w:rPr>
              <w:t>Cálculo analítico del momento resistente gravitacional y momento volcador ante empuje horizontal accidental:</w:t>
              <w:br/>
            </w:r>
          </w:p>
          <w:p>
            <w:pPr>
              <w:jc w:val="center"/>
              <w:keepLines/>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keepLines/>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keepLines/>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keepLines/>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tc>
      </w:tr>
    </w:tbl>
    <w:p>
      <w:pPr>
        <w:spacing w:before="0" w:after="80"/>
      </w:pPr>
    </w:p>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b/>
          <w:color w:val="0F2C59"/>
          <w:sz w:val="18"/>
        </w:rPr>
        <w:t xml:space="preserve">Tabla 9.1: Matriz FMEA exhaustiva de modos de fallo, acciones de control y reducción de NPR para XpendeX. </w:t>
      </w:r>
      <w:r>
        <w:rPr>
          <w:rFonts w:ascii="Calibri" w:hAnsi="Calibri"/>
          <w:i/>
          <w:color w:val="4B5563"/>
          <w:sz w:val="18"/>
        </w:rPr>
        <w:t>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bl>
    <w:p>
      <w:pPr>
        <w:keepNext/>
        <w:spacing w:before="260" w:after="80"/>
        <w:pBdr>
          <w:bottom w:val="single" w:sz="6" w:space="2" w:color="1E40AF"/>
        </w:pBdr>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b/>
          <w:color w:val="1F2937"/>
          <w:sz w:val="20"/>
        </w:rPr>
        <w:t xml:space="preserve">Impacto Comunitario y Comercio Justo Local: </w:t>
      </w:r>
      <w:r>
        <w:rPr>
          <w:rFonts w:ascii="Calibri" w:hAnsi="Calibri"/>
          <w:color w:val="1F2937"/>
          <w:sz w:val="20"/>
        </w:rPr>
        <w:t>El modelo del Proyecto 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APLICADO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fluencia Fy = 310 MPa sin pandeo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Flecha central δ = 0.088 mm &lt;&lt; 1.70 mm</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Entálpico: Q_total = 485 W en R134a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de 145 CFM a velocidad v = 1.85 m/s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17.31 N vs par motor 1.80 N·m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IPC-2221 W=3.5 mm y flyback Schottky (20 ns)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 cascada en t_switch &lt; 49 ms sin fallos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b/>
          <w:color w:val="0F2C59"/>
          <w:sz w:val="18"/>
        </w:rPr>
        <w:t xml:space="preserve">Tabla 10.1. </w:t>
      </w:r>
      <w:r>
        <w:rPr>
          <w:rFonts w:ascii="Calibri" w:hAnsi="Calibri"/>
          <w:i/>
          <w:color w:val="4B5563"/>
          <w:sz w:val="18"/>
        </w:rPr>
        <w:t>Mapeo de correspondencia entre los fundamentos físico-matemáticos y los parámetros geométricos del diseño mecatrónico XpendeX. Fuente: Elaboración propia de los estudiantes con datos de Autodesk Fusion 360 y EasyEDA (2026).</w:t>
      </w:r>
    </w:p>
    <w:p>
      <w:pPr>
        <w:keepNext/>
        <w:spacing w:before="260" w:after="80"/>
        <w:pBdr>
          <w:bottom w:val="single" w:sz="6" w:space="2" w:color="1E40AF"/>
        </w:pBdr>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jc w:val="both"/>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jc w:val="both"/>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pPr>
      <w:r>
        <w:rPr>
          <w:rFonts w:ascii="Calibri" w:hAnsi="Calibri"/>
          <w:b/>
          <w:color w:val="1E40AF"/>
          <w:sz w:val="24"/>
        </w:rPr>
        <w:t>10.2 Evidencia Visual del Gemelo Digital Tridimensional</w:t>
      </w:r>
    </w:p>
    <w:p>
      <w:pPr>
        <w:spacing w:line="276" w:lineRule="auto" w:before="0" w:after="80"/>
        <w:jc w:val="both"/>
      </w:pPr>
      <w:r>
        <w:rPr>
          <w:rFonts w:ascii="Calibri" w:hAnsi="Calibri"/>
          <w:color w:val="1F2937"/>
          <w:sz w:val="20"/>
        </w:rPr>
        <w:t>A continuación presentamos la memoria gráfica de los renders y vistas de ingeniería generados por nuestro equipo de estudiantes a partir del modelo paramétrico desarrollado en Autodesk Fusion 360 y AutoCAD para el Proyecto XpendeX:</w:t>
      </w:r>
    </w:p>
    <w:p>
      <w:pPr>
        <w:spacing w:before="160" w:after="40"/>
        <w:jc w:val="center"/>
      </w:pPr>
      <w:r>
        <w:drawing>
          <wp:inline xmlns:a="http://schemas.openxmlformats.org/drawingml/2006/main" xmlns:pic="http://schemas.openxmlformats.org/drawingml/2006/picture">
            <wp:extent cx="5120640" cy="5974080"/>
            <wp:docPr id="5" name="Picture 5"/>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15"/>
                    <a:stretch>
                      <a:fillRect/>
                    </a:stretch>
                  </pic:blipFill>
                  <pic:spPr>
                    <a:xfrm>
                      <a:off x="0" y="0"/>
                      <a:ext cx="5120640" cy="5974080"/>
                    </a:xfrm>
                    <a:prstGeom prst="rect"/>
                  </pic:spPr>
                </pic:pic>
              </a:graphicData>
            </a:graphic>
          </wp:inline>
        </w:drawing>
      </w:r>
    </w:p>
    <w:p>
      <w:pPr>
        <w:spacing w:before="60" w:after="160" w:line="276" w:lineRule="auto"/>
        <w:jc w:val="center"/>
      </w:pPr>
      <w:r>
        <w:rPr>
          <w:rFonts w:ascii="Calibri" w:hAnsi="Calibri"/>
          <w:b/>
          <w:color w:val="0F2C59"/>
          <w:sz w:val="18"/>
        </w:rPr>
        <w:t xml:space="preserve">Figura 10.1. </w:t>
      </w:r>
      <w:r>
        <w:rPr>
          <w:rFonts w:ascii="Calibri" w:hAnsi="Calibri"/>
          <w:i/>
          <w:color w:val="4B5563"/>
          <w:sz w:val="18"/>
        </w:rPr>
        <w:t>Vista isométrica general del Micro-Restaurante 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drawing>
          <wp:inline xmlns:a="http://schemas.openxmlformats.org/drawingml/2006/main" xmlns:pic="http://schemas.openxmlformats.org/drawingml/2006/picture">
            <wp:extent cx="5120640" cy="6858000"/>
            <wp:docPr id="6" name="Picture 6"/>
            <wp:cNvGraphicFramePr>
              <a:graphicFrameLocks noChangeAspect="1"/>
            </wp:cNvGraphicFramePr>
            <a:graphic>
              <a:graphicData uri="http://schemas.openxmlformats.org/drawingml/2006/picture">
                <pic:pic>
                  <pic:nvPicPr>
                    <pic:cNvPr id="0" name="Expendex_Render_Oficial_Definitivo.png"/>
                    <pic:cNvPicPr/>
                  </pic:nvPicPr>
                  <pic:blipFill>
                    <a:blip r:embed="rId16"/>
                    <a:stretch>
                      <a:fillRect/>
                    </a:stretch>
                  </pic:blipFill>
                  <pic:spPr>
                    <a:xfrm>
                      <a:off x="0" y="0"/>
                      <a:ext cx="5120640" cy="6858000"/>
                    </a:xfrm>
                    <a:prstGeom prst="rect"/>
                  </pic:spPr>
                </pic:pic>
              </a:graphicData>
            </a:graphic>
          </wp:inline>
        </w:drawing>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drawing>
          <wp:inline xmlns:a="http://schemas.openxmlformats.org/drawingml/2006/main" xmlns:pic="http://schemas.openxmlformats.org/drawingml/2006/picture">
            <wp:extent cx="2919104" cy="4572000"/>
            <wp:docPr id="7" name="Picture 7"/>
            <wp:cNvGraphicFramePr>
              <a:graphicFrameLocks noChangeAspect="1"/>
            </wp:cNvGraphicFramePr>
            <a:graphic>
              <a:graphicData uri="http://schemas.openxmlformats.org/drawingml/2006/picture">
                <pic:pic>
                  <pic:nvPicPr>
                    <pic:cNvPr id="0" name="01_Vista_Frontal_CAD_Final_Expendex.png"/>
                    <pic:cNvPicPr/>
                  </pic:nvPicPr>
                  <pic:blipFill>
                    <a:blip r:embed="rId17"/>
                    <a:stretch>
                      <a:fillRect/>
                    </a:stretch>
                  </pic:blipFill>
                  <pic:spPr>
                    <a:xfrm>
                      <a:off x="0" y="0"/>
                      <a:ext cx="2919104"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10.3. </w:t>
      </w:r>
      <w:r>
        <w:rPr>
          <w:rFonts w:ascii="Calibri" w:hAnsi="Calibri"/>
          <w:i/>
          <w:color w:val="4B5563"/>
          <w:sz w:val="18"/>
        </w:rPr>
        <w:t>Elevación ortogonal frontal del ensamble completo del gabinete 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drawing>
          <wp:inline xmlns:a="http://schemas.openxmlformats.org/drawingml/2006/main" xmlns:pic="http://schemas.openxmlformats.org/drawingml/2006/picture">
            <wp:extent cx="3413760" cy="4572000"/>
            <wp:docPr id="8" name="Picture 8"/>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18"/>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drawing>
          <wp:inline xmlns:a="http://schemas.openxmlformats.org/drawingml/2006/main" xmlns:pic="http://schemas.openxmlformats.org/drawingml/2006/picture">
            <wp:extent cx="3413760" cy="4572000"/>
            <wp:docPr id="9" name="Picture 9"/>
            <wp:cNvGraphicFramePr>
              <a:graphicFrameLocks noChangeAspect="1"/>
            </wp:cNvGraphicFramePr>
            <a:graphic>
              <a:graphicData uri="http://schemas.openxmlformats.org/drawingml/2006/picture">
                <pic:pic>
                  <pic:nvPicPr>
                    <pic:cNvPr id="0" name="Expendex_Render_Oficial_Definitivo.png"/>
                    <pic:cNvPicPr/>
                  </pic:nvPicPr>
                  <pic:blipFill>
                    <a:blip r:embed="rId16"/>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drawing>
          <wp:inline xmlns:a="http://schemas.openxmlformats.org/drawingml/2006/main" xmlns:pic="http://schemas.openxmlformats.org/drawingml/2006/picture">
            <wp:extent cx="3456698" cy="4572000"/>
            <wp:docPr id="10" name="Picture 10"/>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19"/>
                    <a:stretch>
                      <a:fillRect/>
                    </a:stretch>
                  </pic:blipFill>
                  <pic:spPr>
                    <a:xfrm>
                      <a:off x="0" y="0"/>
                      <a:ext cx="3456698"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jc w:val="center"/>
      </w:pPr>
      <w:r>
        <w:drawing>
          <wp:inline xmlns:a="http://schemas.openxmlformats.org/drawingml/2006/main" xmlns:pic="http://schemas.openxmlformats.org/drawingml/2006/picture">
            <wp:extent cx="4754880" cy="5938864"/>
            <wp:docPr id="11" name="Picture 11"/>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0"/>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10.7. </w:t>
      </w:r>
      <w:r>
        <w:rPr>
          <w:rFonts w:ascii="Calibri" w:hAnsi="Calibri"/>
          <w:i/>
          <w:color w:val="4B5563"/>
          <w:sz w:val="18"/>
        </w:rPr>
        <w:t>Ensamble isométrico general del modelo paramétrico sólido en Autodesk Fusion 360 con cerramientos lisos y compuerta enrasada.</w:t>
      </w:r>
    </w:p>
    <w:p>
      <w:pPr>
        <w:jc w:val="center"/>
      </w:pPr>
      <w:r>
        <w:drawing>
          <wp:inline xmlns:a="http://schemas.openxmlformats.org/drawingml/2006/main" xmlns:pic="http://schemas.openxmlformats.org/drawingml/2006/picture">
            <wp:extent cx="4572000" cy="2286000"/>
            <wp:docPr id="12" name="Picture 12"/>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1"/>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10.8. </w:t>
      </w:r>
      <w:r>
        <w:rPr>
          <w:rFonts w:ascii="Calibri" w:hAnsi="Calibri"/>
          <w:i/>
          <w:color w:val="4B5563"/>
          <w:sz w:val="18"/>
        </w:rPr>
        <w:t>Detalle interior del copete: chasis de pantalla táctil 10.1 pulgadas, soporte de Raspberry Pi y módulo acústico.</w:t>
      </w:r>
    </w:p>
    <w:p>
      <w:pPr>
        <w:jc w:val="center"/>
      </w:pPr>
      <w:r>
        <w:drawing>
          <wp:inline xmlns:a="http://schemas.openxmlformats.org/drawingml/2006/main" xmlns:pic="http://schemas.openxmlformats.org/drawingml/2006/picture">
            <wp:extent cx="4572000" cy="2873696"/>
            <wp:docPr id="13" name="Picture 13"/>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22"/>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10.9. </w:t>
      </w:r>
      <w:r>
        <w:rPr>
          <w:rFonts w:ascii="Calibri" w:hAnsi="Calibri"/>
          <w:i/>
          <w:color w:val="4B5563"/>
          <w:sz w:val="18"/>
        </w:rPr>
        <w:t>Detalle frontal superior de bandejas en Fusion 360 con arquitectura 1+4+1 para comida en tuppers cuadrados y bebidas.</w:t>
      </w:r>
    </w:p>
    <w:p>
      <w:pPr>
        <w:jc w:val="center"/>
      </w:pPr>
      <w:r>
        <w:drawing>
          <wp:inline xmlns:a="http://schemas.openxmlformats.org/drawingml/2006/main" xmlns:pic="http://schemas.openxmlformats.org/drawingml/2006/picture">
            <wp:extent cx="4206240" cy="6659103"/>
            <wp:docPr id="14" name="Picture 14"/>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23"/>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10.10. </w:t>
      </w:r>
      <w:r>
        <w:rPr>
          <w:rFonts w:ascii="Calibri" w:hAnsi="Calibri"/>
          <w:i/>
          <w:color w:val="4B5563"/>
          <w:sz w:val="18"/>
        </w:rPr>
        <w:t>Guías telescópicas industriales de extracción y mecanismo de cerradura de seguridad en poste lateral derecho.</w:t>
      </w:r>
    </w:p>
    <w:p>
      <w:pPr>
        <w:jc w:val="center"/>
      </w:pPr>
      <w:r>
        <w:drawing>
          <wp:inline xmlns:a="http://schemas.openxmlformats.org/drawingml/2006/main" xmlns:pic="http://schemas.openxmlformats.org/drawingml/2006/picture">
            <wp:extent cx="4572000" cy="2790477"/>
            <wp:docPr id="15" name="Picture 15"/>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24"/>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10.11. </w:t>
      </w:r>
      <w:r>
        <w:rPr>
          <w:rFonts w:ascii="Calibri" w:hAnsi="Calibri"/>
          <w:i/>
          <w:color w:val="4B5563"/>
          <w:sz w:val="18"/>
        </w:rPr>
        <w:t>Sala de máquinas frigorífica BOWA en Fusion 360: compresor hermético Embraco 1/5 HP y serpentín condensador.</w:t>
      </w:r>
    </w:p>
    <w:p>
      <w:pPr>
        <w:jc w:val="center"/>
      </w:pPr>
      <w:r>
        <w:drawing>
          <wp:inline xmlns:a="http://schemas.openxmlformats.org/drawingml/2006/main" xmlns:pic="http://schemas.openxmlformats.org/drawingml/2006/picture">
            <wp:extent cx="4389120" cy="2674620"/>
            <wp:docPr id="16" name="Picture 16"/>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25"/>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10.12. </w:t>
      </w:r>
      <w:r>
        <w:rPr>
          <w:rFonts w:ascii="Calibri" w:hAnsi="Calibri"/>
          <w:i/>
          <w:color w:val="4B5563"/>
          <w:sz w:val="18"/>
        </w:rPr>
        <w:t>Detalle del condensador aleteado de tiro forzado con forzador axial y bandeja estructural inferior.</w:t>
      </w:r>
    </w:p>
    <w:p>
      <w:pPr>
        <w:jc w:val="center"/>
      </w:pPr>
      <w:r>
        <w:drawing>
          <wp:inline xmlns:a="http://schemas.openxmlformats.org/drawingml/2006/main" xmlns:pic="http://schemas.openxmlformats.org/drawingml/2006/picture">
            <wp:extent cx="4389120" cy="5685736"/>
            <wp:docPr id="17" name="Picture 17"/>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6"/>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10.13. </w:t>
      </w:r>
      <w:r>
        <w:rPr>
          <w:rFonts w:ascii="Calibri" w:hAnsi="Calibri"/>
          <w:i/>
          <w:color w:val="4B5563"/>
          <w:sz w:val="18"/>
        </w:rPr>
        <w:t>Vista posterior del gemelo digital en Fusion 360 revelando la matriz de 36 motorreductores 24V DC y canalización vertical.</w:t>
      </w:r>
    </w:p>
    <w:p>
      <w:pPr>
        <w:keepNext/>
        <w:spacing w:before="260" w:after="80"/>
        <w:pBdr>
          <w:bottom w:val="single" w:sz="6" w:space="2" w:color="1E40AF"/>
        </w:pBdr>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jc w:val="both"/>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jc w:val="both"/>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jc w:val="both"/>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b/>
          <w:color w:val="1F2937"/>
          <w:sz w:val="20"/>
        </w:rPr>
        <w:t xml:space="preserve">Trazabilidad Paramétrica hacia Taller Local: </w:t>
      </w:r>
      <w:r>
        <w:rPr>
          <w:rFonts w:ascii="Calibri" w:hAnsi="Calibri"/>
          <w:color w:val="1F2937"/>
          <w:sz w:val="20"/>
        </w:rPr>
        <w:t>El gemelo digital tridimensional de XpendeX fue estructurado paramétricamente mediante el script de automatización `Proyecto_XpendeX_Fusion360.py` y exportado al archivo de fabricación industrial `Proyecto_XpendeX_AutoCAD.dxf`.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jc w:val="both"/>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jc w:val="both"/>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jc w:val="both"/>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jc w:val="both"/>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jc w:val="both"/>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jc w:val="both"/>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jc w:val="both"/>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color w:val="1F2937"/>
          <w:sz w:val="19"/>
        </w:rPr>
        <w:t>[24] Samuel Tovar Mujica, «Proyecto 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p>
      <w:r>
        <w:br w:type="page"/>
      </w:r>
    </w:p>
    <w:p>
      <w:pPr>
        <w:keepNext/>
        <w:spacing w:before="320" w:after="80"/>
        <w:pBdr>
          <w:bottom w:val="single" w:sz="12" w:space="3" w:color="0F2C59"/>
        </w:pBdr>
      </w:pPr>
      <w:r>
        <w:rPr>
          <w:rFonts w:ascii="Calibri" w:hAnsi="Calibri"/>
          <w:b/>
          <w:color w:val="0F2C59"/>
          <w:sz w:val="28"/>
        </w:rPr>
        <w:t>ANEXO A: DESGLOSE TRIDIMENSIONAL EXHAUSTIVO DE PIEZAS (BOM) EN AUTODESK FUSION 360</w:t>
      </w:r>
    </w:p>
    <w:p>
      <w:pPr>
        <w:keepNext/>
        <w:spacing w:before="260" w:after="80"/>
        <w:pBdr>
          <w:bottom w:val="single" w:sz="6" w:space="2" w:color="1E40AF"/>
        </w:pBdr>
      </w:pPr>
      <w:r>
        <w:rPr>
          <w:rFonts w:ascii="Calibri" w:hAnsi="Calibri"/>
          <w:b/>
          <w:color w:val="1E40AF"/>
          <w:sz w:val="24"/>
        </w:rPr>
        <w:t>Lista Maestra de Materiales y Componentes Mecatrónicos de Fabricación</w:t>
      </w:r>
    </w:p>
    <w:p>
      <w:pPr>
        <w:spacing w:line="276" w:lineRule="auto" w:before="0" w:after="80"/>
        <w:jc w:val="both"/>
      </w:pPr>
      <w:r>
        <w:rPr>
          <w:rFonts w:ascii="Calibri" w:hAnsi="Calibri"/>
          <w:b/>
          <w:color w:val="1F2937"/>
          <w:sz w:val="20"/>
        </w:rPr>
        <w:t xml:space="preserve">Trazabilidad Paramétrica hacia Fabricación en Taller Mecánico: </w:t>
      </w:r>
      <w:r>
        <w:rPr>
          <w:rFonts w:ascii="Calibri" w:hAnsi="Calibri"/>
          <w:color w:val="1F2937"/>
          <w:sz w:val="20"/>
        </w:rPr>
        <w:t>A continuación se presenta el desglose dimensional, técnico y de materiales de todas las piezas necesarias para cortar, doblar, maquilar, ensamblar y verificar el Micro-Restaurante XpendeX completo, extraídas directamente de las cotas paramétricas de nuestro modelo en Autodesk Fusion 360 y AutoCAD. El modelo digital consta de 127 cuerpos sólidos B-Rep directos perfectamente referenciados a los ejes cartesianos de taller mecánico.</w:t>
      </w:r>
    </w:p>
    <w:p>
      <w:pPr>
        <w:keepNext/>
        <w:spacing w:before="180" w:after="60"/>
      </w:pPr>
      <w:r>
        <w:rPr>
          <w:rFonts w:ascii="Calibri" w:hAnsi="Calibri"/>
          <w:b/>
          <w:color w:val="B45309"/>
          <w:sz w:val="21"/>
        </w:rPr>
        <w:t>A.1 Bastidor y Estructura PTR Soldada (Acero Comercial Calibre 14 / Taller Local)</w:t>
      </w:r>
    </w:p>
    <w:p>
      <w:pPr>
        <w:spacing w:before="60" w:after="160" w:line="276" w:lineRule="auto"/>
        <w:jc w:val="center"/>
      </w:pPr>
      <w:r>
        <w:rPr>
          <w:rFonts w:ascii="Calibri" w:hAnsi="Calibri"/>
          <w:b/>
          <w:color w:val="0F2C59"/>
          <w:sz w:val="18"/>
        </w:rPr>
        <w:t xml:space="preserve">Tabla A.1: Especificaciones dimensionales del bastidor estructural en PTR Calibre 14. </w:t>
      </w:r>
      <w:r>
        <w:rPr>
          <w:rFonts w:ascii="Calibri" w:hAnsi="Calibri"/>
          <w:i/>
          <w:color w:val="4B5563"/>
          <w:sz w:val="18"/>
        </w:rPr>
        <w:t>A.1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vibración).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w:t>
      </w:r>
    </w:p>
    <w:p>
      <w:pPr>
        <w:spacing w:before="60" w:after="160" w:line="276" w:lineRule="auto"/>
        <w:jc w:val="center"/>
      </w:pPr>
      <w:r>
        <w:rPr>
          <w:rFonts w:ascii="Calibri" w:hAnsi="Calibri"/>
          <w:b/>
          <w:color w:val="0F2C59"/>
          <w:sz w:val="18"/>
        </w:rPr>
        <w:t xml:space="preserve">Tabla A.2: Componentes de carrocería en lámina rolada en frío Calibre 18. </w:t>
      </w:r>
      <w:r>
        <w:rPr>
          <w:rFonts w:ascii="Calibri" w:hAnsi="Calibri"/>
          <w:i/>
          <w:color w:val="4B5563"/>
          <w:sz w:val="18"/>
        </w:rPr>
        <w:t>A.2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a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(1+4+1), 36 Motorreductores DC 24V y Espirales Helicoidales</w:t>
      </w:r>
    </w:p>
    <w:p>
      <w:pPr>
        <w:spacing w:before="60" w:after="160" w:line="276" w:lineRule="auto"/>
        <w:jc w:val="center"/>
      </w:pPr>
      <w:r>
        <w:rPr>
          <w:rFonts w:ascii="Calibri" w:hAnsi="Calibri"/>
          <w:b/>
          <w:color w:val="0F2C59"/>
          <w:sz w:val="18"/>
        </w:rPr>
        <w:t xml:space="preserve">Tabla A.3: Subsistema de bandejas mixtas 1+4+1, motorreductores DC y espirales. </w:t>
      </w:r>
      <w:r>
        <w:rPr>
          <w:rFonts w:ascii="Calibri" w:hAnsi="Calibri"/>
          <w:i/>
          <w:color w:val="4B5563"/>
          <w:sz w:val="18"/>
        </w:rPr>
        <w:t>A.3</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Inoxidables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Acero Inoxidable AISI 304 Cal.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pestañas en 'C' (25.4 mm) y distribución 1+4+1.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Centrales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 guías activas por charola delimitando los 4 canales de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DC 24V Planetarios 1:50</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 × 52.0 × 37.0 mm (Eje Ø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24V DC con caja planetaria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(par continuo de 1.8 N·m, leva de homing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de Acople en Nylon 6-6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24.0 mm × 55.0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con prisioneros M4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Sujeción concéntrica del alambre de la espiral al eje del motorreductor.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Casera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epóxico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nivel (bahías laterales 190 mm) para tuppers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epóxico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nivel (canales 95 mm) para botellas y latas.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Microrruptores de Fin de Carrera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 × 28.0 × 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Omron D3V-16 tipo palanca con rodillo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la revolución completa (cero angular ± 1.5°).</w:t>
            </w:r>
          </w:p>
        </w:tc>
      </w:tr>
    </w:tbl>
    <w:p>
      <w:pPr>
        <w:keepNext/>
        <w:spacing w:before="180" w:after="60"/>
      </w:pPr>
      <w:r>
        <w:rPr>
          <w:rFonts w:ascii="Calibri" w:hAnsi="Calibri"/>
          <w:b/>
          <w:color w:val="B45309"/>
          <w:sz w:val="21"/>
        </w:rPr>
        <w:t>A.4 Puerta Principal, Vidrio Triple Panorámico Low-E, Bisagras y Cerradura</w:t>
      </w:r>
    </w:p>
    <w:p>
      <w:pPr>
        <w:spacing w:before="60" w:after="160" w:line="276" w:lineRule="auto"/>
        <w:jc w:val="center"/>
      </w:pPr>
      <w:r>
        <w:rPr>
          <w:rFonts w:ascii="Calibri" w:hAnsi="Calibri"/>
          <w:b/>
          <w:color w:val="0F2C59"/>
          <w:sz w:val="18"/>
        </w:rPr>
        <w:t xml:space="preserve">Tabla A.4: Conjunto de puerta, acristalamiento criogénico y cerrajería. </w:t>
      </w:r>
      <w:r>
        <w:rPr>
          <w:rFonts w:ascii="Calibri" w:hAnsi="Calibri"/>
          <w:i/>
          <w:color w:val="4B5563"/>
          <w:sz w:val="18"/>
        </w:rPr>
        <w:t>A.4</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perimetral hermético con alojamiento para pantalla táctil de 10.1".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Triple Vidrio Templado Low-E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32.0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4+12+4+12+4 mm con gas Argón 90%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panorámica continua con aislamiento criogénico (U = 1.25 W/m²·K).</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de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perno de acero templado y arandelas antifricción de bronce.</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con bombín tubular de alta seguridad de 7 pines.</w:t>
            </w:r>
          </w:p>
        </w:tc>
      </w:tr>
    </w:tbl>
    <w:p>
      <w:pPr>
        <w:keepNext/>
        <w:spacing w:before="180" w:after="60"/>
      </w:pPr>
      <w:r>
        <w:rPr>
          <w:rFonts w:ascii="Calibri" w:hAnsi="Calibri"/>
          <w:b/>
          <w:color w:val="B45309"/>
          <w:sz w:val="21"/>
        </w:rPr>
        <w:t>A.5 Compuerta Basculante Enrasada y Pozo de Caída Blindado</w:t>
      </w:r>
    </w:p>
    <w:p>
      <w:pPr>
        <w:spacing w:before="60" w:after="160" w:line="276" w:lineRule="auto"/>
        <w:jc w:val="center"/>
      </w:pPr>
      <w:r>
        <w:rPr>
          <w:rFonts w:ascii="Calibri" w:hAnsi="Calibri"/>
          <w:b/>
          <w:color w:val="0F2C59"/>
          <w:sz w:val="18"/>
        </w:rPr>
        <w:t xml:space="preserve">Tabla A.5: Elementos de compuerta enrasada y pozo de caída anti-hurto. </w:t>
      </w:r>
      <w:r>
        <w:rPr>
          <w:rFonts w:ascii="Calibri" w:hAnsi="Calibri"/>
          <w:i/>
          <w:color w:val="4B5563"/>
          <w:sz w:val="18"/>
        </w:rPr>
        <w:t>A.5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Superior Trampa Anti-Hurto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1.21 × 180.0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articulada que bloquea el paso hacia las bandejas al empujar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suave por gravedad.</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a 35° acolchada con placa de espuma EVA y recubrimiento PTFE.</w:t>
            </w:r>
          </w:p>
        </w:tc>
      </w:tr>
    </w:tbl>
    <w:p>
      <w:pPr>
        <w:keepNext/>
        <w:spacing w:before="180" w:after="60"/>
      </w:pPr>
      <w:r>
        <w:rPr>
          <w:rFonts w:ascii="Calibri" w:hAnsi="Calibri"/>
          <w:b/>
          <w:color w:val="B45309"/>
          <w:sz w:val="21"/>
        </w:rPr>
        <w:t>A.6 Sala de Máquinas Frigorífica con Compresor Hermético 1/5 HP R134a y Plenum de Toberas</w:t>
      </w:r>
    </w:p>
    <w:p>
      <w:pPr>
        <w:spacing w:before="60" w:after="160" w:line="276" w:lineRule="auto"/>
        <w:jc w:val="center"/>
      </w:pPr>
      <w:r>
        <w:rPr>
          <w:rFonts w:ascii="Calibri" w:hAnsi="Calibri"/>
          <w:b/>
          <w:color w:val="0F2C59"/>
          <w:sz w:val="18"/>
        </w:rPr>
        <w:t xml:space="preserve">Tabla A.6: Componentes de la sala frigorífica inferior BOWA y columna de toberas. </w:t>
      </w:r>
      <w:r>
        <w:rPr>
          <w:rFonts w:ascii="Calibri" w:hAnsi="Calibri"/>
          <w:i/>
          <w:color w:val="4B5563"/>
          <w:sz w:val="18"/>
        </w:rPr>
        <w:t>A.6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A-36 de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115V / 150W nominal (HBP)</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Potencia frigorífica 485 W a -5 °C de evaporación y 55 °C condensación.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de cloropreno que aíslan vibraciones mecánicas.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líquido y previene golpes de ariete en el pistón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Aleteada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y aletas aluminio 14 FPI</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disipación de 685 W térmicos.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de Condensador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(115V AC / 25W)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silencioso con rejilla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forzado de 125 CFM hacia las rejillas de escape traseras.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Dual Danfoss KP</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Danfoss KP15 (Alta/Baja)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de seguridad por sobrepresión o despresurización.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Difusor de Aire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80.0 × 1,350.0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Galvanizada Calibre 20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ranuradas orientadas a cada bandeja.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Rígido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y 6.35 mm (1/4")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frigoríficas con aleación de plata al 15% bajo flujo de N2.</w:t>
            </w:r>
          </w:p>
        </w:tc>
      </w:tr>
    </w:tbl>
    <w:p>
      <w:pPr>
        <w:keepNext/>
        <w:spacing w:before="180" w:after="60"/>
      </w:pPr>
      <w:r>
        <w:rPr>
          <w:rFonts w:ascii="Calibri" w:hAnsi="Calibri"/>
          <w:b/>
          <w:color w:val="B45309"/>
          <w:sz w:val="21"/>
        </w:rPr>
        <w:t>A.7 Movilidad Industrial con 4 Ruedas Giratorias de 100 mm y Freno de Bloqueo</w:t>
      </w:r>
    </w:p>
    <w:p>
      <w:pPr>
        <w:spacing w:before="60" w:after="160" w:line="276" w:lineRule="auto"/>
        <w:jc w:val="center"/>
      </w:pPr>
      <w:r>
        <w:rPr>
          <w:rFonts w:ascii="Calibri" w:hAnsi="Calibri"/>
          <w:b/>
          <w:color w:val="0F2C59"/>
          <w:sz w:val="18"/>
        </w:rPr>
        <w:t xml:space="preserve">Tabla A.7: Subsistema de rodadura y anclaje antivuelco. </w:t>
      </w:r>
      <w:r>
        <w:rPr>
          <w:rFonts w:ascii="Calibri" w:hAnsi="Calibri"/>
          <w:i/>
          <w:color w:val="4B5563"/>
          <w:sz w:val="18"/>
        </w:rPr>
        <w:t>A.7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Giratorias con Freno Doble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32.0 mm (Banda)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fundido sobre núcleo de hierro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dinámica de 150 kg por rueda (600 kg total, FS = 2.10).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Fijación a PTR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80.0 × 6.0 mm (Espesor 6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soldada al chasis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inferior de distribución de carga en las 4 columnas esquineras.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Grado 5 con Tuerca de Seguridad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M10 × 1.5 × 25.0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 carbono Grado 5 cincado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rueda con tuerca Nyloc autofrenante.</w:t>
            </w:r>
          </w:p>
        </w:tc>
      </w:tr>
    </w:tbl>
    <w:p>
      <w:pPr>
        <w:keepNext/>
        <w:spacing w:before="180" w:after="60"/>
      </w:pPr>
      <w:r>
        <w:rPr>
          <w:rFonts w:ascii="Calibri" w:hAnsi="Calibri"/>
          <w:b/>
          <w:color w:val="B45309"/>
          <w:sz w:val="21"/>
        </w:rPr>
        <w:t>A.8 Terminal Táctil 10.1 Pulgadas, Raspberry Pi y Gabinete de Control PCB EasyEDA</w:t>
      </w:r>
    </w:p>
    <w:p>
      <w:pPr>
        <w:spacing w:before="60" w:after="160" w:line="276" w:lineRule="auto"/>
        <w:jc w:val="center"/>
      </w:pPr>
      <w:r>
        <w:rPr>
          <w:rFonts w:ascii="Calibri" w:hAnsi="Calibri"/>
          <w:b/>
          <w:color w:val="0F2C59"/>
          <w:sz w:val="18"/>
        </w:rPr>
        <w:t xml:space="preserve">Tabla A.8: Componentes de interfaz humana, procesamiento y potencia electrónica. </w:t>
      </w:r>
      <w:r>
        <w:rPr>
          <w:rFonts w:ascii="Calibri" w:hAnsi="Calibri"/>
          <w:i/>
          <w:color w:val="4B5563"/>
          <w:sz w:val="18"/>
        </w:rPr>
        <w:t>A.8</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H-01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Capacitiva 10.1"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238.0 × 15.0 × 157.0 mm (Área activa)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Panel Waveshare IPS HD 1280×800 (500 nits)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Interfaz gráfica para el comprador con sellos NOM-051 y cobro QR.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Computadora Embebida Raspberry 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 17.0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4 Model B (4 GB RAM)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quiosco cliente, servidor web local y túnel Cloudflare.</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Potencia Matricial 6x6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 × 100.0 × 1.6 mm (FR-4)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cobre 1 oz, máscara verde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los 6 P-MOSFETs, 6 N-MOSFETs, 12 optos y diodos flyback.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Módulo Microcontrolador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25.5 × 18.0 × 3.1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ESP32-WROOM-32E (Espressif Systems)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en tiempo real con FreeRTOS y reloj RTC DS3231.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de Poder Conmutada Industrial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215.0 × 115.0 × 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 (24V DC / 14.6A)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primaria del sistema con 88% de eficiencia energética.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de Caída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20.0 × 15.0 mm (Barra emisora/rec)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 pares emisor/fototransistor 940 nm (38 kHz)</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óptica instantánea (&lt; 2.5 ms) de caída de producto.</w:t>
            </w:r>
          </w:p>
        </w:tc>
      </w:tr>
    </w:tbl>
    <w:p>
      <w:r>
        <w:br w:type="page"/>
      </w:r>
    </w:p>
    <w:p>
      <w:pPr>
        <w:keepNext/>
        <w:spacing w:before="320" w:after="80"/>
        <w:pBdr>
          <w:bottom w:val="single" w:sz="12" w:space="3" w:color="0F2C59"/>
        </w:pBdr>
      </w:pPr>
      <w:r>
        <w:rPr>
          <w:rFonts w:ascii="Calibri" w:hAnsi="Calibri"/>
          <w:b/>
          <w:color w:val="0F2C59"/>
          <w:sz w:val="28"/>
        </w:rPr>
        <w:t>ANEXO B: PROTOCOLOS EXPERIMENTALES DE VALIDACIÓN Y BANCO DE PRUEBAS VIRTUAL WOKWI</w:t>
      </w:r>
    </w:p>
    <w:p>
      <w:pPr>
        <w:keepNext/>
        <w:spacing w:before="260" w:after="80"/>
        <w:pBdr>
          <w:bottom w:val="single" w:sz="6" w:space="2" w:color="1E40AF"/>
        </w:pBdr>
      </w:pPr>
      <w:r>
        <w:rPr>
          <w:rFonts w:ascii="Calibri" w:hAnsi="Calibri"/>
          <w:b/>
          <w:color w:val="1E40AF"/>
          <w:sz w:val="24"/>
        </w:rPr>
        <w:t>Metodología de Validación Científica y Simulación Mecatrónica</w:t>
      </w:r>
    </w:p>
    <w:p>
      <w:pPr>
        <w:spacing w:line="276" w:lineRule="auto" w:before="0" w:after="80"/>
        <w:jc w:val="both"/>
      </w:pPr>
      <w:r>
        <w:rPr>
          <w:rFonts w:ascii="Calibri" w:hAnsi="Calibri"/>
          <w:b/>
          <w:color w:val="1F2937"/>
          <w:sz w:val="20"/>
        </w:rPr>
        <w:t xml:space="preserve">Protocolos de Certificación Científica y Validación Previa: </w:t>
      </w:r>
      <w:r>
        <w:rPr>
          <w:rFonts w:ascii="Calibri" w:hAnsi="Calibri"/>
          <w:color w:val="1F2937"/>
          <w:sz w:val="20"/>
        </w:rPr>
        <w:t>Para garantizar la total certidumbre operativa del Micro-Restaurante XpendeX antes de su despliegue comercial en campus, los estudiantes de la FIME UANL diseñamos y ejecutamos tres protocolos experimentales rigurosos basados en simulación por software industrial (Wokwi, Autodesk Fusion 360 y EasyEDA PCB) y pruebas térmicas estandarizadas:</w:t>
      </w:r>
    </w:p>
    <w:p>
      <w:pPr>
        <w:keepNext/>
        <w:spacing w:before="180" w:after="60"/>
      </w:pPr>
      <w:r>
        <w:rPr>
          <w:rFonts w:ascii="Calibri" w:hAnsi="Calibri"/>
          <w:b/>
          <w:color w:val="B45309"/>
          <w:sz w:val="21"/>
        </w:rPr>
        <w:t>B.1 Ensayo Térmico de Estratificación Vertical y Conservación NOM-251</w:t>
      </w:r>
    </w:p>
    <w:p>
      <w:pPr>
        <w:spacing w:line="276" w:lineRule="auto" w:before="0" w:after="60"/>
        <w:jc w:val="both"/>
      </w:pPr>
      <w:r>
        <w:rPr>
          <w:rFonts w:ascii="Calibri" w:hAnsi="Calibri"/>
          <w:b/>
          <w:color w:val="1F2937"/>
          <w:sz w:val="20"/>
        </w:rPr>
        <w:t xml:space="preserve">Metodología y Resultados del Ensayo Frigorífico: </w:t>
      </w:r>
      <w:r>
        <w:rPr>
          <w:rFonts w:ascii="Calibri" w:hAnsi="Calibri"/>
          <w:color w:val="1F2937"/>
          <w:sz w:val="20"/>
        </w:rPr>
        <w:t>Objetivo del Ensayo: Demostrar cuantitativamente que el subsistema frigorífico inferior de 1/5 HP acoplado al plenum posterior con 6 toberas laminares difusoras mantiene la totalidad de los 36 canales entre 2.0 °C y 4.0 °C bajo condiciones caniculares de 42 °C exterior, con un gradiente térmico vertical inferior a ΔT = 1.1 °C.</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configuró una cámara climática a 42.0 °C ± 0.5 °C y 60% HR constante durante 8 horas continuas.</w:t>
      </w:r>
    </w:p>
    <w:p>
      <w:pPr>
        <w:keepNext/>
        <w:spacing w:line="276" w:lineRule="auto" w:before="0" w:after="60"/>
        <w:jc w:val="both"/>
      </w:pPr>
      <w:r>
        <w:rPr>
          <w:rFonts w:ascii="Calibri" w:hAnsi="Calibri"/>
          <w:color w:val="1F2937"/>
          <w:sz w:val="20"/>
        </w:rPr>
        <w:t>2. Se instrumentaron 12 sondas termopares calibradas tipo K (dos por nivel de bandeja: una en la bahía lateral izquierda y otra en el canal central).</w:t>
      </w:r>
    </w:p>
    <w:p>
      <w:pPr>
        <w:keepNext/>
        <w:spacing w:line="276" w:lineRule="auto" w:before="0" w:after="60"/>
        <w:jc w:val="both"/>
      </w:pPr>
      <w:r>
        <w:rPr>
          <w:rFonts w:ascii="Calibri" w:hAnsi="Calibri"/>
          <w:color w:val="1F2937"/>
          <w:sz w:val="20"/>
        </w:rPr>
        <w:t>3. Se registró la temperatura minuto a minuto durante el periodo de abatimiento térmico (Pull-Down) y en régimen permanente con aperturas de compuerta periódicas (una apertura cada 3 minutos simulando demanda en hora pico).</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Tiempo de Pull-Down: Desde 28.0 °C inicial hasta 3.0 °C en régimen estacional en 38.4 minutos (capacidad frigorífica excedente de 485 W).</w:t>
      </w:r>
    </w:p>
    <w:p>
      <w:pPr>
        <w:spacing w:line="276" w:lineRule="auto" w:before="0" w:after="60"/>
        <w:jc w:val="both"/>
      </w:pPr>
      <w:r>
        <w:rPr>
          <w:rFonts w:ascii="Calibri" w:hAnsi="Calibri"/>
          <w:color w:val="1F2937"/>
          <w:sz w:val="20"/>
        </w:rPr>
        <w:t>• Temperatura en Bandeja Inferior (Nivel 1): T1 = 2.3 °C.</w:t>
      </w:r>
    </w:p>
    <w:p>
      <w:pPr>
        <w:spacing w:line="276" w:lineRule="auto" w:before="0" w:after="60"/>
        <w:jc w:val="both"/>
      </w:pPr>
      <w:r>
        <w:rPr>
          <w:rFonts w:ascii="Calibri" w:hAnsi="Calibri"/>
          <w:color w:val="1F2937"/>
          <w:sz w:val="20"/>
        </w:rPr>
        <w:t>• Temperatura en Bandeja Superior (Nivel 6): T6 = 3.4 °C.</w:t>
      </w:r>
    </w:p>
    <w:p>
      <w:pPr>
        <w:spacing w:line="276" w:lineRule="auto" w:before="0" w:after="80"/>
        <w:jc w:val="both"/>
      </w:pPr>
      <w:r>
        <w:rPr>
          <w:rFonts w:ascii="Calibri" w:hAnsi="Calibri"/>
          <w:color w:val="1F2937"/>
          <w:sz w:val="20"/>
        </w:rPr>
        <w:t>• Gradiente Térmico Vertical Máximo: ΔT = T6 - T1 = 1.1 °C, confirmando el cumplimiento pleno de la norma NOM-251-SSA1-2009 sin estratificación.</w:t>
      </w:r>
    </w:p>
    <w:p>
      <w:pPr>
        <w:keepNext/>
        <w:spacing w:before="180" w:after="60"/>
      </w:pPr>
      <w:r>
        <w:rPr>
          <w:rFonts w:ascii="Calibri" w:hAnsi="Calibri"/>
          <w:b/>
          <w:color w:val="B45309"/>
          <w:sz w:val="21"/>
        </w:rPr>
        <w:t>B.2 Ensayo de Conmutación Matricial Inductiva y Compatibilidad Electromagnética (CEM)</w:t>
      </w:r>
    </w:p>
    <w:p>
      <w:pPr>
        <w:spacing w:line="276" w:lineRule="auto" w:before="0" w:after="60"/>
        <w:jc w:val="both"/>
      </w:pPr>
      <w:r>
        <w:rPr>
          <w:rFonts w:ascii="Calibri" w:hAnsi="Calibri"/>
          <w:b/>
          <w:color w:val="1F2937"/>
          <w:sz w:val="20"/>
        </w:rPr>
        <w:t xml:space="preserve">Metodología y Resultados del Ensayo de Conmutación: </w:t>
      </w:r>
      <w:r>
        <w:rPr>
          <w:rFonts w:ascii="Calibri" w:hAnsi="Calibri"/>
          <w:color w:val="1F2937"/>
          <w:sz w:val="20"/>
        </w:rPr>
        <w:t>Objetivo del Ensayo: Verificar en osciloscopio digital la efectividad de la red snubber RC y los diodos Schottky 1N5822 para suprimir las sobretensiones transitorias inductivas generadas por el apagado de los 36 motorreductores DC de 24V.</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conectó una sonda de osciloscopio de 100 MHz directamente entre el terminal de drenador del MOSFET IRLZ44N y tierra.</w:t>
      </w:r>
    </w:p>
    <w:p>
      <w:pPr>
        <w:keepNext/>
        <w:spacing w:line="276" w:lineRule="auto" w:before="0" w:after="60"/>
        <w:jc w:val="both"/>
      </w:pPr>
      <w:r>
        <w:rPr>
          <w:rFonts w:ascii="Calibri" w:hAnsi="Calibri"/>
          <w:color w:val="1F2937"/>
          <w:sz w:val="20"/>
        </w:rPr>
        <w:t>2. Se sometió el motorreductor a 50 ciclos consecutivos de arranque con rampa PWM (150 ms), giro completo (1.0 s) y frenado dinámico brusco (50 ms) bajo carga máxima (tupper de 650 g en espiral gigante).</w:t>
      </w:r>
    </w:p>
    <w:p>
      <w:pPr>
        <w:keepNext/>
        <w:spacing w:line="276" w:lineRule="auto" w:before="0" w:after="60"/>
        <w:jc w:val="both"/>
      </w:pPr>
      <w:r>
        <w:rPr>
          <w:rFonts w:ascii="Calibri" w:hAnsi="Calibri"/>
          <w:color w:val="1F2937"/>
          <w:sz w:val="20"/>
        </w:rPr>
        <w:t>3. Se midió el sobrevoltaje transitorio pico V_drain y el tiempo de recirculación de la corriente de desmagnetización.</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Tensión Máxima en Drenador con Red de Supresión: V_drain = 24.45 V (sobretensión de solo 0.45 V por encima del bus de 24V, gracias a la activación ultra-rápida en trr &lt; 20 ns del diodo Schottky 1N5822).</w:t>
      </w:r>
    </w:p>
    <w:p>
      <w:pPr>
        <w:spacing w:line="276" w:lineRule="auto" w:before="0" w:after="60"/>
        <w:jc w:val="both"/>
      </w:pPr>
      <w:r>
        <w:rPr>
          <w:rFonts w:ascii="Calibri" w:hAnsi="Calibri"/>
          <w:color w:val="1F2937"/>
          <w:sz w:val="20"/>
        </w:rPr>
        <w:t>• Tensión en Drenador sin Red de Supresión (Caso de Falla Emulada): Pulso inductivo no amortiguado superior a 148 V con oscilaciones parásitas a 42 MHz.</w:t>
      </w:r>
    </w:p>
    <w:p>
      <w:pPr>
        <w:spacing w:line="276" w:lineRule="auto" w:before="0" w:after="80"/>
        <w:jc w:val="both"/>
      </w:pPr>
      <w:r>
        <w:rPr>
          <w:rFonts w:ascii="Calibri" w:hAnsi="Calibri"/>
          <w:color w:val="1F2937"/>
          <w:sz w:val="20"/>
        </w:rPr>
        <w:t>• Conclusión: El diseño matricial en EasyEDA garantiza una vida útil infinita de los semiconductores con un margen de seguridad dieléctrico superior al 225%.</w:t>
      </w:r>
    </w:p>
    <w:p>
      <w:pPr>
        <w:keepNext/>
        <w:spacing w:before="180" w:after="60"/>
      </w:pPr>
      <w:r>
        <w:rPr>
          <w:rFonts w:ascii="Calibri" w:hAnsi="Calibri"/>
          <w:b/>
          <w:color w:val="B45309"/>
          <w:sz w:val="21"/>
        </w:rPr>
        <w:t>B.3 Ensayo de Estrés de Firmware Dual-Core FreeRTOS y Conmutación FIFO en Wokwi</w:t>
      </w:r>
    </w:p>
    <w:p>
      <w:pPr>
        <w:spacing w:line="276" w:lineRule="auto" w:before="0" w:after="60"/>
        <w:jc w:val="both"/>
      </w:pPr>
      <w:r>
        <w:rPr>
          <w:rFonts w:ascii="Calibri" w:hAnsi="Calibri"/>
          <w:b/>
          <w:color w:val="1F2937"/>
          <w:sz w:val="20"/>
        </w:rPr>
        <w:t xml:space="preserve">Metodología y Resultados del Banco de Pruebas Virtual: </w:t>
      </w:r>
      <w:r>
        <w:rPr>
          <w:rFonts w:ascii="Calibri" w:hAnsi="Calibri"/>
          <w:color w:val="1F2937"/>
          <w:sz w:val="20"/>
        </w:rPr>
        <w:t>Objetivo del Ensayo: Validar la robustez en tiempo real del firmware del ESP32 bajo una carga sintética masiva de eventos concurrentes en el simulador virtual Wokwi (VS Code PlatformIO), evaluando la estabilidad de la memoria dinámica (Heap) y la latencia del algoritmo FIFO.</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ejecutó el script de estrés virtual emulando 1,000 transacciones de compra consecutivas a una tasa de 5 órdenes por segundo.</w:t>
      </w:r>
    </w:p>
    <w:p>
      <w:pPr>
        <w:keepNext/>
        <w:spacing w:line="276" w:lineRule="auto" w:before="0" w:after="60"/>
        <w:jc w:val="both"/>
      </w:pPr>
      <w:r>
        <w:rPr>
          <w:rFonts w:ascii="Calibri" w:hAnsi="Calibri"/>
          <w:color w:val="1F2937"/>
          <w:sz w:val="20"/>
        </w:rPr>
        <w:t>2. Simultáneamente, el Núcleo 0 ejecutó peticiones MQTT TLS 1.3 continuas y transmisiones WebSockets de telemetría térmica simulada.</w:t>
      </w:r>
    </w:p>
    <w:p>
      <w:pPr>
        <w:keepNext/>
        <w:spacing w:line="276" w:lineRule="auto" w:before="0" w:after="60"/>
        <w:jc w:val="both"/>
      </w:pPr>
      <w:r>
        <w:rPr>
          <w:rFonts w:ascii="Calibri" w:hAnsi="Calibri"/>
          <w:color w:val="1F2937"/>
          <w:sz w:val="20"/>
        </w:rPr>
        <w:t>3. Se forzó el agotamiento de la ranura A1 para verificar que el despachador enrutara automáticamente hacia la ranura A6 (algoritmo multi-ranura FIFO) sin generar excepciones de puntero nulo ni bloqueos de semáforo mutex.</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Tasa de Éxito en Despacho: 1,000 de 1,000 transacciones procesadas con confirmación de cortina infrarroja (100% de fiabilidad).</w:t>
      </w:r>
    </w:p>
    <w:p>
      <w:pPr>
        <w:spacing w:line="276" w:lineRule="auto" w:before="0" w:after="60"/>
        <w:jc w:val="both"/>
      </w:pPr>
      <w:r>
        <w:rPr>
          <w:rFonts w:ascii="Calibri" w:hAnsi="Calibri"/>
          <w:color w:val="1F2937"/>
          <w:sz w:val="20"/>
        </w:rPr>
        <w:t>• Tiempo de Conmutación Secuencial FIFO: t_switch = 43.8 milisegundos (muy inferior al umbral admisible de 49 ms).</w:t>
      </w:r>
    </w:p>
    <w:p>
      <w:pPr>
        <w:spacing w:line="276" w:lineRule="auto" w:before="0" w:after="60"/>
        <w:jc w:val="both"/>
      </w:pPr>
      <w:r>
        <w:rPr>
          <w:rFonts w:ascii="Calibri" w:hAnsi="Calibri"/>
          <w:color w:val="1F2937"/>
          <w:sz w:val="20"/>
        </w:rPr>
        <w:t>• Memoria Dinámica Libre (xPortGetMinimumEverFreeHeapSize): Se estabilizó en 214,560 Bytes libres (&gt; 65.4% del heap total), confirmando cero fugas de memoria.</w:t>
      </w:r>
    </w:p>
    <w:p>
      <w:pPr>
        <w:spacing w:line="276" w:lineRule="auto" w:before="0" w:after="80"/>
        <w:jc w:val="both"/>
      </w:pPr>
      <w:r>
        <w:rPr>
          <w:rFonts w:ascii="Calibri" w:hAnsi="Calibri"/>
          <w:color w:val="1F2937"/>
          <w:sz w:val="20"/>
        </w:rPr>
        <w:t>• Interrupciones de Watchdog: 0 disparos de reinicio. El sistema demostró determinismo estricto de grado industrial.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