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3 (AF3 — 40%): PRODUCTO INTEGRADOR DE APRENDIZAJE (PIA)</w:t>
        <w:br/>
        <w:t>REPORTE TÉCNICO FINAL DE INGENIERÍA MECATRÓNICA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Pr>
          <w:rFonts w:ascii="Calibri" w:hAnsi="Calibri"/>
          <w:b/>
          <w:sz w:val="21"/>
        </w:rPr>
        <w:t xml:space="preserve">Grupo: </w:t>
      </w:r>
      <w:r>
        <w:rPr>
          <w:rFonts w:ascii="Calibri" w:hAnsi="Calibri"/>
          <w:sz w:val="21"/>
        </w:rPr>
        <w:t xml:space="preserve">005   |   </w:t>
      </w:r>
      <w:r>
        <w:rPr>
          <w:rFonts w:ascii="Calibri" w:hAnsi="Calibri"/>
          <w:b/>
          <w:sz w:val="21"/>
        </w:rPr>
        <w:t xml:space="preserve">Salón: </w:t>
      </w:r>
      <w:r>
        <w:rPr>
          <w:rFonts w:ascii="Calibri" w:hAnsi="Calibri"/>
          <w:sz w:val="21"/>
        </w:rPr>
        <w:t>7208</w:t>
      </w:r>
    </w:p>
    <w:p>
      <w:pPr>
        <w:spacing w:before="40" w:after="40"/>
        <w:jc w:val="center"/>
      </w:pPr>
      <w:r>
        <w:rPr>
          <w:rFonts w:ascii="Calibri" w:hAnsi="Calibri"/>
          <w:b/>
          <w:sz w:val="21"/>
        </w:rPr>
        <w:t xml:space="preserve">Día: </w:t>
      </w:r>
      <w:r>
        <w:rPr>
          <w:rFonts w:ascii="Calibri" w:hAnsi="Calibri"/>
          <w:sz w:val="21"/>
        </w:rPr>
        <w:t xml:space="preserve">Jueves   |   </w:t>
      </w:r>
      <w:r>
        <w:rPr>
          <w:rFonts w:ascii="Calibri" w:hAnsi="Calibri"/>
          <w:b/>
          <w:sz w:val="21"/>
        </w:rPr>
        <w:t xml:space="preserve">Hora: </w:t>
      </w:r>
      <w:r>
        <w:rPr>
          <w:rFonts w:ascii="Calibri" w:hAnsi="Calibri"/>
          <w:sz w:val="21"/>
        </w:rPr>
        <w:t>M4 a M6</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29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t>A continuación se presenta la estructura maestra de los 25 capítulos oficiales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ALINEACIÓN CON EL PROGRAMA OFICIAL DE EVIDENCIAS DE APRENDIZAJE FIME</w:t>
              <w:br/>
            </w:r>
            <w:r>
              <w:rPr>
                <w:rFonts w:ascii="Calibri" w:hAnsi="Calibri"/>
                <w:i/>
                <w:color w:val="1F2937"/>
                <w:sz w:val="19"/>
              </w:rPr>
              <w:t>El presente Producto Integrador de Aprendizaje (PIA - 40%) consolida de forma exhaustiva los 26 apartados de ingeniería especificados en el Programa de Evidencias de Aprendizaje de la Unidad de Aprendizaje: Proyecto de Ingeniería Aplicada (IEAI) de la Facultad de Ingeniería Mecánica y Eléctrica (FIME - UANL). Todos los cálculos de diseño, simulaciones multifísicas y gemelos digitales se desarrollaron en estricto cumplimiento con las normas institucionales y criterios de competencia vigentes.</w:t>
            </w:r>
          </w:p>
        </w:tc>
      </w:tr>
    </w:tbl>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integro las disciplinas mecatronicas bajo una estructura organizacional de tres especialistas (Carrera IEA), encabezada por el Jefe del Proyecto: (1) Liderazgo del proyecto, arquitectura mecatronica integral, modelado CAD 3D parametrico en Autodesk Fusion 360, firmware en VS Code y Wokwi (ESP32 FreeRTOS) y documentacion integral, desarrollados por Samuel Tovar Mujica (Mat. 2077933 - Jefe de Proyecto); (2) Desarrollo de las plataformas web del cliente (quiosco tactil de 10.1" con catalogo nutricional NOM-051 y cobro QR) y del dueno (panel administrativo FIFO), desarrollado por Emiliano Sanchez Martinez (Mat. 2012856); y (3) Diseno y simulacion de la etapa de potencia y ruteo PCB en EasyEDA (Matriz MOSFET 6x6 segun IPC-2221B) y simulacion de electronica digital, desarrollado por Francisco Reyes Santiago (Mat. 1768161).</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0" w:after="40" w:line="210" w:lineRule="exact"/>
        <w:ind w:left="504" w:hanging="504"/>
      </w:pPr>
      <w:r>
        <w:rPr>
          <w:rFonts w:ascii="Calibri" w:hAnsi="Calibri"/>
          <w:color w:val="1F2937"/>
          <w:sz w:val="18"/>
        </w:rPr>
        <w:t>[1] Y. A. Cengel y M. A. Boles, Termodinámica, 9ª ed. Ciudad de México, México: McGraw-Hill Interamericana, 2019.</w:t>
      </w:r>
    </w:p>
    <w:p>
      <w:pPr>
        <w:spacing w:before="0" w:after="40" w:line="210" w:lineRule="exact"/>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0" w:after="40" w:line="210" w:lineRule="exact"/>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0" w:after="40" w:line="210" w:lineRule="exact"/>
        <w:ind w:left="504" w:hanging="504"/>
      </w:pPr>
      <w:r>
        <w:rPr>
          <w:rFonts w:ascii="Calibri" w:hAnsi="Calibri"/>
          <w:color w:val="1F2937"/>
          <w:sz w:val="18"/>
        </w:rPr>
        <w:t>[4] R. C. Hibbeler, Mecánica de Materiales, 9ª ed. Ciudad de México, México: Pearson Educación, 2017.</w:t>
      </w:r>
    </w:p>
    <w:p>
      <w:pPr>
        <w:spacing w:before="0" w:after="40" w:line="210" w:lineRule="exact"/>
        <w:ind w:left="504" w:hanging="504"/>
      </w:pPr>
      <w:r>
        <w:rPr>
          <w:rFonts w:ascii="Calibri" w:hAnsi="Calibri"/>
          <w:color w:val="1F2937"/>
          <w:sz w:val="18"/>
        </w:rPr>
        <w:t>[5] ASHRAE, «Standard 32.1-2022: Methods of Testing for Rating Vending Machines for Bottled, Canned, and Other Sealed Beverages», Atlanta, GA, 2022.</w:t>
      </w:r>
    </w:p>
    <w:p>
      <w:pPr>
        <w:spacing w:before="0" w:after="40" w:line="210" w:lineRule="exact"/>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0" w:after="40" w:line="210" w:lineRule="exact"/>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0" w:after="40" w:line="210" w:lineRule="exact"/>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0" w:after="40" w:line="210" w:lineRule="exact"/>
        <w:ind w:left="504" w:hanging="504"/>
      </w:pPr>
      <w:r>
        <w:rPr>
          <w:rFonts w:ascii="Calibri" w:hAnsi="Calibri"/>
          <w:color w:val="1F2937"/>
          <w:sz w:val="18"/>
        </w:rPr>
        <w:t>[9] IPC, «IPC-2221B: Generic Standard on Printed Board Design», Bannockburn, IL, EE.UU.: Association Connecting Electronics Industries, 2012.</w:t>
      </w:r>
    </w:p>
    <w:p>
      <w:pPr>
        <w:spacing w:before="0" w:after="40" w:line="210" w:lineRule="exact"/>
        <w:ind w:left="504" w:hanging="504"/>
      </w:pPr>
      <w:r>
        <w:rPr>
          <w:rFonts w:ascii="Calibri" w:hAnsi="Calibri"/>
          <w:color w:val="1F2937"/>
          <w:sz w:val="18"/>
        </w:rPr>
        <w:t>[10] World Wide Web Consortium (W3C), «Web Content Accessibility Guidelines (WCAG) 2.1», 2018.</w:t>
      </w:r>
    </w:p>
    <w:p>
      <w:pPr>
        <w:spacing w:before="0" w:after="40" w:line="210" w:lineRule="exact"/>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0" w:after="40" w:line="210" w:lineRule="exact"/>
        <w:ind w:left="504" w:hanging="504"/>
      </w:pPr>
      <w:r>
        <w:rPr>
          <w:rFonts w:ascii="Calibri" w:hAnsi="Calibri"/>
          <w:color w:val="1F2937"/>
          <w:sz w:val="18"/>
        </w:rPr>
        <w:t>[12] Underwriters Laboratories, «UL 751: Standard for Vending Machines», 8ª ed., Northbrook, IL, EE.UU.: UL LLC, 2020.</w:t>
      </w:r>
    </w:p>
    <w:p>
      <w:pPr>
        <w:spacing w:before="0" w:after="40" w:line="210" w:lineRule="exact"/>
        <w:ind w:left="504" w:hanging="504"/>
      </w:pPr>
      <w:r>
        <w:rPr>
          <w:rFonts w:ascii="Calibri" w:hAnsi="Calibri"/>
          <w:color w:val="1F2937"/>
          <w:sz w:val="18"/>
        </w:rPr>
        <w:t>[13] K. Ogata, Ingeniería de Control Moderna, 5ª ed. Madrid, España: Pearson Prentice Hall, 2010.</w:t>
      </w:r>
    </w:p>
    <w:p>
      <w:pPr>
        <w:spacing w:before="0" w:after="40" w:line="210" w:lineRule="exact"/>
        <w:ind w:left="504" w:hanging="504"/>
      </w:pPr>
      <w:r>
        <w:rPr>
          <w:rFonts w:ascii="Calibri" w:hAnsi="Calibri"/>
          <w:color w:val="1F2937"/>
          <w:sz w:val="18"/>
        </w:rPr>
        <w:t>[14] G. Pahl, W. Beitz, J. Feldhusen y K. H. Grote, Engineering Design: A Systematic Approach, 3ª ed. Londres, Reino Unido: Springer, 2007.</w:t>
      </w:r>
    </w:p>
    <w:p>
      <w:pPr>
        <w:spacing w:before="0" w:after="40" w:line="210" w:lineRule="exact"/>
        <w:ind w:left="504" w:hanging="504"/>
      </w:pPr>
      <w:r>
        <w:rPr>
          <w:rFonts w:ascii="Calibri" w:hAnsi="Calibri"/>
          <w:color w:val="1F2937"/>
          <w:sz w:val="18"/>
        </w:rPr>
        <w:t>[15] Verein Deutscher Ingenieure, «VDI 2206: Design Methodology for Mechatronic Systems», Düsseldorf, Alemania: Beuth Verlag, 2004.</w:t>
      </w:r>
    </w:p>
    <w:p>
      <w:pPr>
        <w:spacing w:before="0" w:after="40" w:line="210" w:lineRule="exact"/>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0" w:after="40" w:line="210" w:lineRule="exact"/>
        <w:ind w:left="504" w:hanging="504"/>
      </w:pPr>
      <w:r>
        <w:rPr>
          <w:rFonts w:ascii="Calibri" w:hAnsi="Calibri"/>
          <w:color w:val="1F2937"/>
          <w:sz w:val="18"/>
        </w:rPr>
        <w:t>[17] S. J. Kline y F. A. McClintock, «Describing uncertainties in single-sample experiments», Mechanical Engineering, vol. 75, pp. 3–8, ene. 1953.</w:t>
      </w:r>
    </w:p>
    <w:p>
      <w:pPr>
        <w:spacing w:before="0" w:after="40" w:line="210" w:lineRule="exact"/>
        <w:ind w:left="504" w:hanging="504"/>
      </w:pPr>
      <w:r>
        <w:rPr>
          <w:rFonts w:ascii="Calibri" w:hAnsi="Calibri"/>
          <w:color w:val="1F2937"/>
          <w:sz w:val="18"/>
        </w:rPr>
        <w:t>[18] D. C. Montgomery, Design and Analysis of Experiments, 10ª ed. Hoboken, NJ, EE.UU.: John Wiley &amp; Sons, 2019.</w:t>
      </w:r>
    </w:p>
    <w:p>
      <w:pPr>
        <w:spacing w:before="0" w:after="40" w:line="210" w:lineRule="exact"/>
        <w:ind w:left="504" w:hanging="504"/>
      </w:pPr>
      <w:r>
        <w:rPr>
          <w:rFonts w:ascii="Calibri" w:hAnsi="Calibri"/>
          <w:color w:val="1F2937"/>
          <w:sz w:val="18"/>
        </w:rPr>
        <w:t>[19] Espressif Systems, «ESP32-WROOM-32E Datasheet: 2.4 GHz Wi-Fi + Bluetooth + BLE MCU Module», Shanghái, China, 2024.</w:t>
      </w:r>
    </w:p>
    <w:p>
      <w:pPr>
        <w:spacing w:before="0" w:after="40" w:line="210" w:lineRule="exact"/>
        <w:ind w:left="504" w:hanging="504"/>
      </w:pPr>
      <w:r>
        <w:rPr>
          <w:rFonts w:ascii="Calibri" w:hAnsi="Calibri"/>
          <w:color w:val="1F2937"/>
          <w:sz w:val="18"/>
        </w:rPr>
        <w:t>[20] Embraco - Nidec Global Appliance, «Application Guidelines for Commercial Refrigeration Compressors (R134a)», Joinville, Brasil, 2022.</w:t>
      </w:r>
    </w:p>
    <w:p>
      <w:pPr>
        <w:spacing w:before="0" w:after="40" w:line="210" w:lineRule="exact"/>
        <w:ind w:left="504" w:hanging="504"/>
      </w:pPr>
      <w:r>
        <w:rPr>
          <w:rFonts w:ascii="Calibri" w:hAnsi="Calibri"/>
          <w:color w:val="1F2937"/>
          <w:sz w:val="18"/>
        </w:rPr>
        <w:t>[21] Danfoss Climate Solutions, «KP Pressure Switches Technical Brochure: Dual High/Low Refrigeration Cut-outs», Nordborg, Dinamarca, 2023.</w:t>
      </w:r>
    </w:p>
    <w:p>
      <w:pPr>
        <w:spacing w:before="0" w:after="40" w:line="210" w:lineRule="exact"/>
        <w:ind w:left="504" w:hanging="504"/>
      </w:pPr>
      <w:r>
        <w:rPr>
          <w:rFonts w:ascii="Calibri" w:hAnsi="Calibri"/>
          <w:color w:val="1F2937"/>
          <w:sz w:val="18"/>
        </w:rPr>
        <w:t>[22] Department of Defense, «MIL-HDBK-217F: Reliability Prediction of Electronic Equipment», Washington, DC, EE.UU., 1995.</w:t>
      </w:r>
    </w:p>
    <w:p>
      <w:pPr>
        <w:spacing w:before="0" w:after="40" w:line="210" w:lineRule="exact"/>
        <w:ind w:left="504" w:hanging="504"/>
      </w:pPr>
      <w:r>
        <w:rPr>
          <w:rFonts w:ascii="Calibri" w:hAnsi="Calibri"/>
          <w:color w:val="1F2937"/>
          <w:sz w:val="18"/>
        </w:rPr>
        <w:t>[23] Infineon Technologies AG, «IRLZ44NPBF Logic-Level N-Channel &amp; IRF9540NPBF P-Channel Power MOSFET Datasheets», Neubiberg, Alemania, 2021.</w:t>
      </w:r>
    </w:p>
    <w:p>
      <w:pPr>
        <w:spacing w:before="0" w:after="40" w:line="210" w:lineRule="exact"/>
        <w:ind w:left="504" w:hanging="504"/>
      </w:pPr>
      <w:r>
        <w:rPr>
          <w:rFonts w:ascii="Calibri" w:hAnsi="Calibri"/>
          <w:color w:val="1F2937"/>
          <w:sz w:val="18"/>
        </w:rPr>
        <w:t>[24] Mean Well Enterprises Co., «LRS-350 Series 350W Single Output Enclosed Type Power Supply Specification», New Taipei City, Taiwán, 2023.</w:t>
      </w:r>
    </w:p>
    <w:p>
      <w:pPr>
        <w:spacing w:before="0" w:after="40" w:line="210" w:lineRule="exact"/>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