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AF 4: PRESENTACIÓN INICIAL</w:t>
      </w:r>
    </w:p>
    <w:tbl>
      <w:tblPr>
        <w:tblW w:type="auto" w:w="0"/>
        <w:jc w:val="center"/>
        <w:tblLayout w:type="fixed"/>
        <w:tblLook w:firstColumn="1" w:firstRow="1" w:lastColumn="0" w:lastRow="0" w:noHBand="0" w:noVBand="1" w:val="04A0"/>
      </w:tblPr>
      <w:tblGrid>
        <w:gridCol w:w="3120"/>
        <w:gridCol w:w="3120"/>
        <w:gridCol w:w="3120"/>
      </w:tblGrid>
      <w:tr>
        <w:tc>
          <w:tcPr>
            <w:tcW w:type="dxa" w:w="2592"/>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after="60" w:line="324"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Pr>
          <w:rFonts w:ascii="Calibri" w:hAnsi="Calibri"/>
          <w:b/>
          <w:sz w:val="21"/>
        </w:rPr>
        <w:t xml:space="preserve">Grupo: </w:t>
      </w:r>
      <w:r>
        <w:rPr>
          <w:rFonts w:ascii="Calibri" w:hAnsi="Calibri"/>
          <w:sz w:val="21"/>
        </w:rPr>
        <w:t xml:space="preserve">005   |   </w:t>
      </w:r>
      <w:r>
        <w:rPr>
          <w:rFonts w:ascii="Calibri" w:hAnsi="Calibri"/>
          <w:b/>
          <w:sz w:val="21"/>
        </w:rPr>
        <w:t xml:space="preserve">Salón: </w:t>
      </w:r>
      <w:r>
        <w:rPr>
          <w:rFonts w:ascii="Calibri" w:hAnsi="Calibri"/>
          <w:sz w:val="21"/>
        </w:rPr>
        <w:t>7208</w:t>
      </w:r>
    </w:p>
    <w:p>
      <w:pPr>
        <w:spacing w:before="40" w:after="40"/>
        <w:jc w:val="center"/>
      </w:pPr>
      <w:r>
        <w:rPr>
          <w:rFonts w:ascii="Calibri" w:hAnsi="Calibri"/>
          <w:b/>
          <w:sz w:val="21"/>
        </w:rPr>
        <w:t xml:space="preserve">Día: </w:t>
      </w:r>
      <w:r>
        <w:rPr>
          <w:rFonts w:ascii="Calibri" w:hAnsi="Calibri"/>
          <w:sz w:val="21"/>
        </w:rPr>
        <w:t xml:space="preserve">Jueves   |   </w:t>
      </w:r>
      <w:r>
        <w:rPr>
          <w:rFonts w:ascii="Calibri" w:hAnsi="Calibri"/>
          <w:b/>
          <w:sz w:val="21"/>
        </w:rPr>
        <w:t xml:space="preserve">Hora: </w:t>
      </w:r>
      <w:r>
        <w:rPr>
          <w:rFonts w:ascii="Calibri" w:hAnsi="Calibri"/>
          <w:sz w:val="21"/>
        </w:rPr>
        <w:t>M4 a M6</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29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Pág.</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59</w:t>
            </w:r>
          </w:p>
        </w:tc>
      </w:tr>
    </w:tbl>
    <w:p>
      <w:r>
        <w:br w:type="page"/>
      </w:r>
    </w:p>
    <w:p>
      <w:pPr>
        <w:keepNext/>
        <w:spacing w:before="320" w:after="80"/>
        <w:pBdr>
          <w:bottom w:val="single" w:sz="12" w:space="3" w:color="0F2C59"/>
        </w:pBdr>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Título Formal de Ingeniería y Registro Académico</w:t>
              <w:br/>
            </w:r>
            <w:r>
              <w:rPr>
                <w:rFonts w:ascii="Calibri" w:hAnsi="Calibri"/>
                <w:i/>
                <w:color w:val="1F2937"/>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260" w:after="80"/>
        <w:pBdr>
          <w:bottom w:val="single" w:sz="6" w:space="2" w:color="1E40AF"/>
        </w:pBdr>
      </w:pPr>
      <w:r>
        <w:rPr>
          <w:rFonts w:ascii="Calibri" w:hAnsi="Calibri"/>
          <w:b/>
          <w:color w:val="1E40AF"/>
          <w:sz w:val="24"/>
        </w:rPr>
        <w:t>1.1 Organización del Equipo de Proyecto y Matriz de Responsabilidades de Ingeniería</w:t>
      </w:r>
    </w:p>
    <w:p>
      <w:pPr>
        <w:spacing w:line="276" w:lineRule="auto" w:before="0" w:after="80"/>
        <w:jc w:val="both"/>
      </w:pPr>
      <w:r>
        <w:rPr>
          <w:rFonts w:ascii="Calibri" w:hAnsi="Calibri"/>
          <w:b/>
          <w:color w:val="1F2937"/>
          <w:sz w:val="20"/>
        </w:rPr>
        <w:t xml:space="preserve">Organización y Asignación de Módulos de Ingeniería: </w:t>
      </w:r>
      <w:r>
        <w:rPr>
          <w:rFonts w:ascii="Calibri" w:hAnsi="Calibri"/>
          <w:color w:val="1F2937"/>
          <w:sz w:val="20"/>
        </w:rPr>
        <w:t>La ejecución integral del proyecto ExpendeX se estructuró bajo una división técnica de responsabilidades entre los tres integrantes de la carrera de Ingeniero en Electrónica y Automatización (IEA), definiendo con rigor los alcances desarrollados por cada área: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de ingeniería del proyecto ExpendeX.</w:t>
      </w:r>
    </w:p>
    <w:p>
      <w:pPr>
        <w:keepNext/>
        <w:spacing w:before="320" w:after="80"/>
        <w:pBdr>
          <w:bottom w:val="single" w:sz="12" w:space="3" w:color="0F2C59"/>
        </w:pBdr>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jc w:val="both"/>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jc w:val="both"/>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jc w:val="both"/>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jc w:val="both"/>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jc w:val="both"/>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pPr>
      <w:r>
        <w:rPr>
          <w:rFonts w:ascii="Calibri" w:hAnsi="Calibri"/>
          <w:b/>
          <w:color w:val="0F2C59"/>
          <w:sz w:val="28"/>
        </w:rPr>
        <w:t>3.0 IDENTIFICACIÓN Y PLANTEAMIENTO DEL PROBLEMA DE INGENIERÍA</w:t>
      </w:r>
    </w:p>
    <w:p>
      <w:pPr>
        <w:keepNext/>
        <w:spacing w:before="260" w:after="80"/>
        <w:pBdr>
          <w:bottom w:val="single" w:sz="6" w:space="2" w:color="1E40AF"/>
        </w:pBdr>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jc w:val="both"/>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jc w:val="both"/>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jc w:val="both"/>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jc w:val="both"/>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jc w:val="both"/>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Pregunta Central de Investigación de Ingeniería</w:t>
              <w:br/>
            </w:r>
            <w:r>
              <w:rPr>
                <w:rFonts w:ascii="Calibri" w:hAnsi="Calibri"/>
                <w:i/>
                <w:color w:val="1F2937"/>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pPr>
      <w:r>
        <w:rPr>
          <w:rFonts w:ascii="Calibri" w:hAnsi="Calibri"/>
          <w:b/>
          <w:color w:val="0F2C59"/>
          <w:sz w:val="28"/>
        </w:rPr>
        <w:t>4.0 JUSTIFICACIÓN INTEGRAL DEL PROYECTO</w:t>
      </w:r>
    </w:p>
    <w:p>
      <w:pPr>
        <w:keepNext/>
        <w:spacing w:before="260" w:after="80"/>
        <w:pBdr>
          <w:bottom w:val="single" w:sz="6" w:space="2" w:color="1E40AF"/>
        </w:pBdr>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FLEXIÓN ANALÍTICA DE BANDEJAS MIXTAS BAJO EULER-BERNOULLI (1+4+1)</w:t>
              <w:br/>
            </w:r>
            <w:r>
              <w:rPr>
                <w:rFonts w:ascii="Calibri" w:hAnsi="Calibri"/>
                <w:i/>
                <w:color w:val="1F2937"/>
                <w:sz w:val="19"/>
              </w:rPr>
              <w:t>Deducción matemática completa bajo la teoría de Euler-Bernoulli para la configuración asimétrica de 36 canales:</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Teórico y Origen de Datos: Aplicamos el principio de superposición de cargas y la Segunda Ley de Newton. Cada una de las 6 bandejas deslizantes de chapa galvanizada Calibre 18 alberga una distribución de cargas mixta:</w:t>
              <w:br/>
              <w:t>a) Dos Bahías Laterales de Comida Casera: Dos canales anchos de 190 mm en los extremos (x1 = 190 mm y x2 = 760 mm), albergando cada una 5 platillos preparados en envases de polipropileno (masa unitaria de 0.50 kg = 2.50 kg por bahía = 24.525 N).</w:t>
              <w:br/>
              <w:t>b) Cuatro Canales Centrales de Bebidas Frías: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máxima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Estático y Reacciones de Apoyo Lateral</w:t>
            </w:r>
          </w:p>
          <w:p>
            <w:pPr>
              <w:keepLines/>
              <w:spacing w:before="0" w:after="60" w:line="276" w:lineRule="auto"/>
              <w:jc w:val="both"/>
            </w:pPr>
            <w:r>
              <w:rPr>
                <w:rFonts w:ascii="Calibri" w:hAnsi="Calibri"/>
                <w:color w:val="1F2937"/>
                <w:sz w:val="18"/>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keepLines/>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apoyo lateral recibe una reacción vertical de 113.41 N, transmitiendo el esfuerzo directamente a las columnas esquineras de PTR.</w:t>
            </w:r>
          </w:p>
          <w:p>
            <w:pPr>
              <w:keepLines/>
              <w:spacing w:before="120" w:after="40" w:line="276" w:lineRule="auto"/>
            </w:pPr>
            <w:r>
              <w:rPr>
                <w:rFonts w:ascii="Calibri" w:hAnsi="Calibri"/>
                <w:b/>
                <w:color w:val="1E40AF"/>
                <w:sz w:val="19"/>
              </w:rPr>
              <w:t>▶ Paso 3: Deducción del Momento Flector Máximo en el Centro de la Luz (x = L/2 = 475 mm)</w:t>
            </w:r>
          </w:p>
          <w:p>
            <w:pPr>
              <w:keepLines/>
              <w:spacing w:before="0" w:after="60" w:line="276" w:lineRule="auto"/>
              <w:jc w:val="both"/>
            </w:pPr>
            <w:r>
              <w:rPr>
                <w:rFonts w:ascii="Calibri" w:hAnsi="Calibri"/>
                <w:color w:val="1F2937"/>
                <w:sz w:val="18"/>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crítico actuante en el centro de la charola es de 35.16 N·m, solicitando a tracción las fibras inferiores.</w:t>
            </w:r>
          </w:p>
          <w:p>
            <w:pPr>
              <w:keepLines/>
              <w:spacing w:before="120" w:after="40" w:line="276" w:lineRule="auto"/>
            </w:pPr>
            <w:r>
              <w:rPr>
                <w:rFonts w:ascii="Calibri" w:hAnsi="Calibri"/>
                <w:b/>
                <w:color w:val="1E40AF"/>
                <w:sz w:val="19"/>
              </w:rPr>
              <w:t>▶ Paso 4: Cálculo de la Deflexión Elástica Máxima Central bajo Euler-Bernoulli</w:t>
            </w:r>
          </w:p>
          <w:p>
            <w:pPr>
              <w:keepLines/>
              <w:spacing w:before="0" w:after="60" w:line="276" w:lineRule="auto"/>
              <w:jc w:val="both"/>
            </w:pPr>
            <w:r>
              <w:rPr>
                <w:rFonts w:ascii="Calibri" w:hAnsi="Calibri"/>
                <w:color w:val="1F2937"/>
                <w:sz w:val="18"/>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elástica máxima en el centro es de 1.28 mm, cumpliendo con holgura el límite admisible de rigidez industrial (L/250 = 3.80 mm) con un factor de seguridad de FS = 2.97.</w:t>
            </w:r>
          </w:p>
          <w:p>
            <w:pPr>
              <w:keepLines/>
              <w:spacing w:before="120" w:after="40" w:line="276" w:lineRule="auto"/>
            </w:pPr>
            <w:r>
              <w:rPr>
                <w:rFonts w:ascii="Calibri" w:hAnsi="Calibri"/>
                <w:b/>
                <w:color w:val="1E40AF"/>
                <w:sz w:val="19"/>
              </w:rPr>
              <w:t>▶ Paso 5: Verificación de Esfuerzos Normales de Flexión (Criterio de Navier)</w:t>
            </w:r>
          </w:p>
          <w:p>
            <w:pPr>
              <w:keepLines/>
              <w:spacing w:before="0" w:after="60" w:line="276" w:lineRule="auto"/>
              <w:jc w:val="both"/>
            </w:pPr>
            <w:r>
              <w:rPr>
                <w:rFonts w:ascii="Calibri" w:hAnsi="Calibri"/>
                <w:color w:val="1F2937"/>
                <w:sz w:val="18"/>
              </w:rPr>
              <w:t>Fundamento Teórico: Ecuación de Navier para esfuerzos normales de flexión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límite de fluencia del acero estructural ASTM A-500 Grado B (Sy = 250 MPa), otorgando un factor de seguridad estático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unificación de canales en bahías de 190 mm y el soporte al ras de vigas transversales de 950 mm limitan la deflexión a 1.28 mm, eliminando el riesgo de atoramiento de las espirales o fricción entre bandejas.</w:t>
            </w:r>
          </w:p>
        </w:tc>
      </w:tr>
    </w:tbl>
    <w:p>
      <w:pPr>
        <w:spacing w:before="0" w:after="80"/>
      </w:pPr>
    </w:p>
    <w:p>
      <w:pPr>
        <w:keepNext/>
        <w:spacing w:before="180" w:after="60"/>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Expandex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PAR TORSOR DE ACCIONAMIENTO DE ESPIRALES HELICOIDALES</w:t>
              <w:br/>
            </w:r>
            <w:r>
              <w:rPr>
                <w:rFonts w:ascii="Calibri" w:hAnsi="Calibri"/>
                <w:i/>
                <w:color w:val="1F2937"/>
                <w:sz w:val="19"/>
              </w:rPr>
              <w:t>Comparación cinemática y dinámica entre espirales gigantes de 144 mm y espirales estándar de 70 mm:</w:t>
              <w:br/>
            </w:r>
          </w:p>
          <w:p>
            <w:pPr>
              <w:keepLines/>
              <w:spacing w:before="40" w:after="40" w:line="276" w:lineRule="auto"/>
            </w:pPr>
            <w:r>
              <w:rPr>
                <w:rFonts w:ascii="Calibri" w:hAnsi="Calibri"/>
                <w:b/>
                <w:color w:val="1E40AF"/>
                <w:sz w:val="19"/>
              </w:rPr>
              <w:t>▶ Paso 1: Par Torsor de la Espiral Gigante Lateral de Comida Caliente (Ø 144 mm)</w:t>
            </w:r>
          </w:p>
          <w:p>
            <w:pPr>
              <w:keepLines/>
              <w:spacing w:before="0" w:after="60" w:line="276" w:lineRule="auto"/>
              <w:jc w:val="both"/>
            </w:pPr>
            <w:r>
              <w:rPr>
                <w:rFonts w:ascii="Calibri" w:hAnsi="Calibri"/>
                <w:color w:val="1F2937"/>
                <w:sz w:val="18"/>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keepLines/>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con reducción planetaria entrega un torque nominal de salida de T_motor = 0.580 N·m (5.91 kgf·cm), confiriendo un factor de seguridad dinámico de FS = (0.580 / 0.382) = 1.52.</w:t>
            </w:r>
          </w:p>
          <w:p>
            <w:pPr>
              <w:keepLines/>
              <w:spacing w:before="120" w:after="40" w:line="276" w:lineRule="auto"/>
            </w:pPr>
            <w:r>
              <w:rPr>
                <w:rFonts w:ascii="Calibri" w:hAnsi="Calibri"/>
                <w:b/>
                <w:color w:val="1E40AF"/>
                <w:sz w:val="19"/>
              </w:rPr>
              <w:t>▶ Paso 2: Par Torsor de las Espirales Centrales de Bebidas Frías (Ø 70 mm)</w:t>
            </w:r>
          </w:p>
          <w:p>
            <w:pPr>
              <w:keepLines/>
              <w:spacing w:before="0" w:after="60" w:line="276" w:lineRule="auto"/>
              <w:jc w:val="both"/>
            </w:pPr>
            <w:r>
              <w:rPr>
                <w:rFonts w:ascii="Calibri" w:hAnsi="Calibri"/>
                <w:color w:val="1F2937"/>
                <w:sz w:val="18"/>
              </w:rPr>
              <w:t>Fundamento Teórico: Para las cuatro columnas centrales, cada espiral aloja 7 botellas de 380 g con masa m = 2.66 kg (W = 26.09 N). El radio medio es R = 35 mm (0.035 m), el paso es p = 84 mm (0.084 m) y el coeficiente de fricción es mu = 0.22:</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keepLines/>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seguridad para las columnas de bebidas es FS = (0.580 / 0.239) = 2.43, asegurando un giro fluido sin riesgo de atascos.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motorización seleccionada con motorreductores 24V DC cubre holgadamente ambos requerimientos con reservas dinámicas superiores al 52% en comida y 143% en bebidas.</w:t>
            </w:r>
          </w:p>
        </w:tc>
      </w:tr>
    </w:tbl>
    <w:p>
      <w:pPr>
        <w:spacing w:before="0" w:after="80"/>
      </w:pPr>
    </w:p>
    <w:p>
      <w:pPr>
        <w:keepNext/>
        <w:spacing w:before="180" w:after="60"/>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RESISTENCIA A CORTANTE Y FATIGA DEL ÉMBOLO EMBONADO</w:t>
              <w:br/>
            </w:r>
            <w:r>
              <w:rPr>
                <w:rFonts w:ascii="Calibri" w:hAnsi="Calibri"/>
                <w:i/>
                <w:color w:val="1F2937"/>
                <w:sz w:val="19"/>
              </w:rPr>
              <w:t>Evaluación estructural del acoplamiento mecánico directo entre motorreductor 24V DC y espiral continua 3D:</w:t>
              <w:br/>
            </w:r>
          </w:p>
          <w:p>
            <w:pPr>
              <w:keepLines/>
              <w:spacing w:before="40" w:after="40" w:line="276" w:lineRule="auto"/>
            </w:pPr>
            <w:r>
              <w:rPr>
                <w:rFonts w:ascii="Calibri" w:hAnsi="Calibri"/>
                <w:b/>
                <w:color w:val="1E40AF"/>
                <w:sz w:val="19"/>
              </w:rPr>
              <w:t>▶ Paso 1: Fuerza Tangencial de Transmisión en el Buje de Acople</w:t>
            </w:r>
          </w:p>
          <w:p>
            <w:pPr>
              <w:keepLines/>
              <w:spacing w:before="0" w:after="60" w:line="276" w:lineRule="auto"/>
              <w:jc w:val="both"/>
            </w:pPr>
            <w:r>
              <w:rPr>
                <w:rFonts w:ascii="Calibri" w:hAnsi="Calibri"/>
                <w:color w:val="1F2937"/>
                <w:sz w:val="18"/>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keepLines/>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tangencial máxima que solicita a cortante la espiral en su punto de embonado es de 171.43 N.</w:t>
            </w:r>
          </w:p>
          <w:p>
            <w:pPr>
              <w:keepLines/>
              <w:spacing w:before="120" w:after="40" w:line="276" w:lineRule="auto"/>
            </w:pPr>
            <w:r>
              <w:rPr>
                <w:rFonts w:ascii="Calibri" w:hAnsi="Calibri"/>
                <w:b/>
                <w:color w:val="1E40AF"/>
                <w:sz w:val="19"/>
              </w:rPr>
              <w:t>▶ Paso 2: Esfuerzo Cortante Directo en la Espiral de Acero Templado (Ø 7 mm)</w:t>
            </w:r>
          </w:p>
          <w:p>
            <w:pPr>
              <w:keepLines/>
              <w:spacing w:before="0" w:after="60" w:line="276" w:lineRule="auto"/>
              <w:jc w:val="both"/>
            </w:pPr>
            <w:r>
              <w:rPr>
                <w:rFonts w:ascii="Calibri" w:hAnsi="Calibri"/>
                <w:color w:val="1F2937"/>
                <w:sz w:val="18"/>
              </w:rPr>
              <w:t>Fundamento Teórico: Resistencia de materiales bajo esfuerzo cortante puro (tau = F / A). El alambre templado posee un diámetro de d = 7.0 mm, cuya sección transversal circular es A = (pi · d^2) / 4 = 3.848 × 10^-5 m^2:</w:t>
            </w:r>
          </w:p>
          <w:p>
            <w:pPr>
              <w:jc w:val="center"/>
              <w:keepLines/>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acero para resortes templado AISI 1070 posee una resistencia admisible al corte de tau_adm = 0.577 · Sy = 375.0 MPa. El factor de seguridad bajo la condición de bloqueo extremo es FS = (375.0 / 4.455) = 84.17 &gt;&gt; 1, asegurando vida útil infinita sin deformación.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sistema embonado elimina holguras angulares, resiste más de 84 veces el torque máximo del motor y garantiza operación libre de desajustes mecánicos.</w:t>
            </w:r>
          </w:p>
        </w:tc>
      </w:tr>
    </w:tbl>
    <w:p>
      <w:pPr>
        <w:spacing w:before="0" w:after="80"/>
      </w:pPr>
    </w:p>
    <w:p>
      <w:pPr>
        <w:keepNext/>
        <w:spacing w:before="180" w:after="60"/>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DINÁMICA DE EMPUJE AXIAL Y FACTOR DE SEGURIDAD EN ESPIRALES 3D</w:t>
              <w:br/>
            </w:r>
            <w:r>
              <w:rPr>
                <w:rFonts w:ascii="Calibri" w:hAnsi="Calibri"/>
                <w:i/>
                <w:color w:val="1F2937"/>
                <w:sz w:val="19"/>
              </w:rPr>
              <w:t>Formulación cinemática del accionamiento por tornillo sin fin para bahías gigantes (Ø 144 mm) y canales de bebidas (Ø 70 mm):</w:t>
              <w:br/>
            </w:r>
          </w:p>
          <w:p>
            <w:pPr>
              <w:keepLines/>
              <w:spacing w:before="40" w:after="40" w:line="276" w:lineRule="auto"/>
            </w:pPr>
            <w:r>
              <w:rPr>
                <w:rFonts w:ascii="Calibri" w:hAnsi="Calibri"/>
                <w:b/>
                <w:color w:val="1E40AF"/>
                <w:sz w:val="19"/>
              </w:rPr>
              <w:t>▶ Paso 1: Ángulo de Inclinación de la Hélice para Espirales Gigantes y Estándar</w:t>
            </w:r>
          </w:p>
          <w:p>
            <w:pPr>
              <w:keepLines/>
              <w:spacing w:before="0" w:after="60" w:line="276" w:lineRule="auto"/>
              <w:jc w:val="both"/>
            </w:pPr>
            <w:r>
              <w:rPr>
                <w:rFonts w:ascii="Calibri" w:hAnsi="Calibri"/>
                <w:color w:val="1F2937"/>
                <w:sz w:val="18"/>
              </w:rPr>
              <w:t>Fundamento Teórico: Geometría diferencial del tornillo helicoidal extendido sobre el plano tangente. El ángulo de inclinación alpha se deduce de la razón entre el paso axial p y el perímetro medio pi · D_medio:</w:t>
            </w:r>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ángulos de hélice obtenidos determinan la cinemática de traslación del producto sin interferencias.</w:t>
            </w:r>
          </w:p>
          <w:p>
            <w:pPr>
              <w:keepLines/>
              <w:spacing w:before="120" w:after="40" w:line="276" w:lineRule="auto"/>
            </w:pPr>
            <w:r>
              <w:rPr>
                <w:rFonts w:ascii="Calibri" w:hAnsi="Calibri"/>
                <w:b/>
                <w:color w:val="1E40AF"/>
                <w:sz w:val="19"/>
              </w:rPr>
              <w:t>▶ Paso 2: Ángulo de Fricción Estática entre Contenedores y Lámina Galvanizada</w:t>
            </w:r>
          </w:p>
          <w:p>
            <w:pPr>
              <w:keepLines/>
              <w:spacing w:before="0" w:after="60" w:line="276" w:lineRule="auto"/>
              <w:jc w:val="both"/>
            </w:pPr>
            <w:r>
              <w:rPr>
                <w:rFonts w:ascii="Calibri" w:hAnsi="Calibri"/>
                <w:color w:val="1F2937"/>
                <w:sz w:val="18"/>
              </w:rPr>
              <w:t>Fundamento Teórico: Ley de rozamiento en seco de Coulomb. Para recipientes de polipropileno sobre chapa de acero galvanizado (mu = 0.22):</w:t>
            </w:r>
          </w:p>
          <w:p>
            <w:pPr>
              <w:jc w:val="center"/>
              <w:keepLines/>
              <w:spacing w:before="60" w:after="60"/>
            </w:pPr>
            <m:oMathPara>
              <m:oMath>
                <m:r>
                  <m:t>ϕ=</m:t>
                </m:r>
                <m:r>
                  <m:rPr>
                    <m:sty m:val="p"/>
                  </m:rPr>
                  <m:t>arctan</m:t>
                </m:r>
                <m:r>
                  <m:t>(μ)=</m:t>
                </m:r>
                <m:r>
                  <m:rPr>
                    <m:sty m:val="p"/>
                  </m:rPr>
                  <m:t>arctan</m:t>
                </m:r>
                <m:r>
                  <m:t>(0.22)=</m:t>
                </m:r>
                <m:sSup>
                  <m:e>
                    <m:r>
                      <m:t>12.41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verificarse que alpha_gigante = 14.62° &gt; 12.41° y alpha_estandar = 20.91° &gt; 12.41°, la hélice avanza libremente sin riesgo de autobloqueo.</w:t>
            </w:r>
          </w:p>
          <w:p>
            <w:pPr>
              <w:keepLines/>
              <w:spacing w:before="120" w:after="40" w:line="276" w:lineRule="auto"/>
            </w:pPr>
            <w:r>
              <w:rPr>
                <w:rFonts w:ascii="Calibri" w:hAnsi="Calibri"/>
                <w:b/>
                <w:color w:val="1E40AF"/>
                <w:sz w:val="19"/>
              </w:rPr>
              <w:t>▶ Paso 3: Fuerza de Empuje Axial Generada por el Motorreductor 24V DC</w:t>
            </w:r>
          </w:p>
          <w:p>
            <w:pPr>
              <w:keepLines/>
              <w:spacing w:before="0" w:after="60" w:line="276" w:lineRule="auto"/>
              <w:jc w:val="both"/>
            </w:pPr>
            <w:r>
              <w:rPr>
                <w:rFonts w:ascii="Calibri" w:hAnsi="Calibri"/>
                <w:color w:val="1F2937"/>
                <w:sz w:val="18"/>
              </w:rPr>
              <w:t>Fundamento Teórico: Transformación de par torsor en empuje axial bajo contacto helicoidal con fricción:</w:t>
            </w:r>
          </w:p>
          <w:p>
            <w:pPr>
              <w:jc w:val="center"/>
              <w:keepLines/>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keepLines/>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keepLines/>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de empuje axial generada supera los 17 N en las bahías de alimentos y los 29 N en las columnas de bebidas.</w:t>
            </w:r>
          </w:p>
          <w:p>
            <w:pPr>
              <w:keepLines/>
              <w:spacing w:before="120" w:after="40" w:line="276" w:lineRule="auto"/>
            </w:pPr>
            <w:r>
              <w:rPr>
                <w:rFonts w:ascii="Calibri" w:hAnsi="Calibri"/>
                <w:b/>
                <w:color w:val="1E40AF"/>
                <w:sz w:val="19"/>
              </w:rPr>
              <w:t>▶ Paso 4: Evaluación de la Resistencia Friccional de Arrastre a Plena Carga</w:t>
            </w:r>
          </w:p>
          <w:p>
            <w:pPr>
              <w:keepLines/>
              <w:spacing w:before="0" w:after="60" w:line="276" w:lineRule="auto"/>
              <w:jc w:val="both"/>
            </w:pPr>
            <w:r>
              <w:rPr>
                <w:rFonts w:ascii="Calibri" w:hAnsi="Calibri"/>
                <w:color w:val="1F2937"/>
                <w:sz w:val="18"/>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keepLines/>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keepLines/>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Las fuerzas de arrastre horizontal son de tan solo 5.40 N en alimentos y 4.03 N en bebidas.</w:t>
            </w:r>
          </w:p>
          <w:p>
            <w:pPr>
              <w:keepLines/>
              <w:spacing w:before="120" w:after="40" w:line="276" w:lineRule="auto"/>
            </w:pPr>
            <w:r>
              <w:rPr>
                <w:rFonts w:ascii="Calibri" w:hAnsi="Calibri"/>
                <w:b/>
                <w:color w:val="1E40AF"/>
                <w:sz w:val="19"/>
              </w:rPr>
              <w:t>▶ Paso 5: Margen de Reserva Dinámico y Factor de Seguridad de Expulsión</w:t>
            </w:r>
          </w:p>
          <w:p>
            <w:pPr>
              <w:keepLines/>
              <w:spacing w:before="0" w:after="60" w:line="276" w:lineRule="auto"/>
              <w:jc w:val="both"/>
            </w:pPr>
            <w:r>
              <w:rPr>
                <w:rFonts w:ascii="Calibri" w:hAnsi="Calibri"/>
                <w:color w:val="1F2937"/>
                <w:sz w:val="18"/>
              </w:rPr>
              <w:t>Fundamento Teórico: Cociente de capacidad de empuje frente a la fuerza resistiva de traslación (FS = F_axial / F_res):</w:t>
            </w:r>
          </w:p>
          <w:p>
            <w:pPr>
              <w:jc w:val="center"/>
              <w:keepLines/>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keepLines/>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factores de seguridad dinámicos superan holgadamente el criterio de diseño (&gt; 1.50), garantizando despacho desatendido fiable.</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empuje axial de 17.31 N supera en más de 3.2 veces la resistencia friccional de 5.40 N de los platillos preparados, garantizando despacho suave y libre de atascos.</w:t>
            </w:r>
          </w:p>
        </w:tc>
      </w:tr>
    </w:tbl>
    <w:p>
      <w:pPr>
        <w:spacing w:before="0" w:after="80"/>
      </w:pPr>
    </w:p>
    <w:p>
      <w:pPr>
        <w:keepNext/>
        <w:spacing w:before="260" w:after="80"/>
        <w:pBdr>
          <w:bottom w:val="single" w:sz="6" w:space="2" w:color="1E40AF"/>
        </w:pBdr>
      </w:pPr>
      <w:r>
        <w:rPr>
          <w:rFonts w:ascii="Calibri" w:hAnsi="Calibri"/>
          <w:b/>
          <w:color w:val="1E40AF"/>
          <w:sz w:val="24"/>
        </w:rPr>
        <w:t>4.2 Justificación Económica, Financiera y Modelo de Negocio B2B</w:t>
      </w:r>
    </w:p>
    <w:p>
      <w:pPr>
        <w:spacing w:line="276" w:lineRule="auto" w:before="0" w:after="60"/>
        <w:jc w:val="both"/>
      </w:pPr>
      <w:r>
        <w:rPr>
          <w:rFonts w:ascii="Calibri" w:hAnsi="Calibri"/>
          <w:color w:val="1F2937"/>
          <w:sz w:val="20"/>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keepNext/>
        <w:spacing w:line="276" w:lineRule="auto" w:before="0" w:after="60"/>
        <w:jc w:val="both"/>
      </w:pPr>
      <w:r>
        <w:rPr>
          <w:rFonts w:ascii="Calibri" w:hAnsi="Calibri"/>
          <w:color w:val="1F2937"/>
          <w:sz w:val="20"/>
        </w:rPr>
        <w:t>1. Estructura de Precios del Platillo de Comida Preparada: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keepNext/>
        <w:spacing w:line="276" w:lineRule="auto" w:before="0" w:after="60"/>
        <w:jc w:val="both"/>
      </w:pPr>
      <w:r>
        <w:rPr>
          <w:rFonts w:ascii="Calibri" w:hAnsi="Calibri"/>
          <w:color w:val="1F2937"/>
          <w:sz w:val="20"/>
        </w:rPr>
        <w:t>2. Venta Cruzada de Bebidas Frías: El consumidor de comida adquiere simultáneamente su bebida refrigerada (agua fresca artesanal, soda o té a $20.00 - $25.00 MXN, con un costo de adquisición de $11.00 - $15.00 MXN), aportando un margen adicional de $9.00 a $10.00 MXN por transacción.</w:t>
      </w:r>
    </w:p>
    <w:p>
      <w:pPr>
        <w:keepNext/>
        <w:spacing w:line="276" w:lineRule="auto" w:before="0" w:after="80"/>
        <w:jc w:val="both"/>
      </w:pPr>
      <w:r>
        <w:rPr>
          <w:rFonts w:ascii="Calibri" w:hAnsi="Calibri"/>
          <w:color w:val="1F2937"/>
          <w:sz w:val="20"/>
        </w:rPr>
        <w:t>3. Ticket Promedio y Retorno Acelerado: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Ahorro Porcentual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- 75.6 %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- 63.2 %</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- 88.5 %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FACTURACIÓN Y MARGEN BRUTO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680 Comidas Caseras ($120)</w:t>
              <w:br/>
              <w:t>• 1,120 Bebidas Frías ($22)</w:t>
              <w:br/>
              <w:t>• Turnos: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Ingreso Bruto: $106,240 MXN</w:t>
              <w:br/>
              <w:t>• Costo Insumos: $69,560 MXN</w:t>
              <w:br/>
              <w:t>• Margen Bruto: $36,680 MXN (34.5%)</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620 Comidas Caseras ($120)</w:t>
              <w:br/>
              <w:t>• 980 Bebidas Frías ($22)</w:t>
              <w:br/>
              <w:t>• Turnos: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$95,960 MXN</w:t>
              <w:br/>
              <w:t>• Costo Insumos: $62,990 MXN</w:t>
              <w:br/>
              <w:t>• Margen Bruto: $32,970 MXN (34.4%)</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540 Comidas Caseras ($120)</w:t>
              <w:br/>
              <w:t>• 1,100 Bebidas Frías ($22)</w:t>
              <w:br/>
              <w:t>• Turnos: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$89,000 MXN</w:t>
              <w:br/>
              <w:t>• Costo Insumos: $57,450 MXN</w:t>
              <w:br/>
              <w:t>• Margen Bruto: $31,550 MXN (35.4%)</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Comidas: 1,840 unidades</w:t>
              <w:br/>
              <w:t>• Total Bebidas: 3,200 unidades</w:t>
              <w:br/>
              <w:t>• Total Transacciones: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Total: $291,200 MXN</w:t>
              <w:br/>
              <w:t>• Costo Insumos: $189,800 MXN</w:t>
              <w:br/>
              <w:t>• Margen Bruto Total: $101,400 MXN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Gasto Financiero: -$11,822.72 MXN</w:t>
              <w:br/>
              <w:t>• Retención Fiscal IVA/ISR: Compensada</w:t>
              <w:br/>
              <w:t>• Fondos Netos: $279,377.28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Costos Fijos: -$2,850.00 MXN</w:t>
              <w:br/>
              <w:t>• Costo por Ración: $0.57 MXN/unidad</w:t>
              <w:br/>
              <w:t>• Eficiencia de Escala: 99.0%</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Utilidad Bimestral: $86,727.28 MXN</w:t>
              <w:br/>
              <w:t>• Utilidad Mensual: $43,363.64 MXN</w:t>
              <w:br/>
              <w:t>• RETORNO DE INVERSIÓN: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jc w:val="both"/>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jc w:val="both"/>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jc w:val="both"/>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jc w:val="both"/>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jc w:val="both"/>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jc w:val="both"/>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jc w:val="both"/>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jc w:val="both"/>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jc w:val="both"/>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pPr>
      <w:r>
        <w:rPr>
          <w:rFonts w:ascii="Calibri" w:hAnsi="Calibri"/>
          <w:b/>
          <w:color w:val="0F2C59"/>
          <w:sz w:val="28"/>
        </w:rPr>
        <w:t>5.0 OBJETIVOS DEL PROYECTO</w:t>
      </w:r>
    </w:p>
    <w:p>
      <w:pPr>
        <w:keepNext/>
        <w:spacing w:before="260" w:after="80"/>
        <w:pBdr>
          <w:bottom w:val="single" w:sz="6" w:space="2" w:color="1E40AF"/>
        </w:pBdr>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Objetivo General del Proyecto de Ingeniería Aplicada</w:t>
              <w:br/>
            </w:r>
            <w:r>
              <w:rPr>
                <w:rFonts w:ascii="Calibri" w:hAnsi="Calibri"/>
                <w:i/>
                <w:color w:val="1F2937"/>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pPr>
      <w:r>
        <w:rPr>
          <w:rFonts w:ascii="Calibri" w:hAnsi="Calibri"/>
          <w:b/>
          <w:color w:val="1E40AF"/>
          <w:sz w:val="24"/>
        </w:rPr>
        <w:t>5.2 Objetivos Específicos Cuantitativos</w:t>
      </w:r>
    </w:p>
    <w:p>
      <w:pPr>
        <w:spacing w:line="276" w:lineRule="auto" w:before="0" w:after="80"/>
        <w:jc w:val="both"/>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jc w:val="both"/>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jc w:val="both"/>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jc w:val="both"/>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jc w:val="both"/>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jc w:val="both"/>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jc w:val="both"/>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jc w:val="both"/>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jc w:val="both"/>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pPr>
      <w:r>
        <w:rPr>
          <w:rFonts w:ascii="Calibri" w:hAnsi="Calibri"/>
          <w:b/>
          <w:color w:val="0F2C59"/>
          <w:sz w:val="28"/>
        </w:rPr>
        <w:t>6.0 ALCANCE DE MERCADO Y LIMITACIONES OPERATIVAS PRELIMINARES</w:t>
      </w:r>
    </w:p>
    <w:p>
      <w:pPr>
        <w:keepNext/>
        <w:spacing w:before="260" w:after="80"/>
        <w:pBdr>
          <w:bottom w:val="single" w:sz="6" w:space="2" w:color="1E40AF"/>
        </w:pBdr>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jc w:val="both"/>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jc w:val="both"/>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jc w:val="both"/>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jc w:val="both"/>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jc w:val="both"/>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jc w:val="both"/>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jc w:val="both"/>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jc w:val="both"/>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jc w:val="both"/>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jc w:val="both"/>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jc w:val="both"/>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jc w:val="both"/>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jc w:val="both"/>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jc w:val="both"/>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jc w:val="both"/>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jc w:val="both"/>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jc w:val="both"/>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jc w:val="both"/>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jc w:val="both"/>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jc w:val="both"/>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keepNext/>
        <w:spacing w:line="276" w:lineRule="auto" w:before="0" w:after="80"/>
        <w:jc w:val="both"/>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keepNext/>
        <w:spacing w:line="276" w:lineRule="auto" w:before="0" w:after="80"/>
        <w:jc w:val="both"/>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pPr>
      <w:r>
        <w:rPr>
          <w:rFonts w:ascii="Calibri" w:hAnsi="Calibri"/>
          <w:b/>
          <w:color w:val="1E40AF"/>
          <w:sz w:val="24"/>
        </w:rPr>
        <w:t>6.3 Arquitectura de Gestión Multi-Sucursal y Despliegue Multi-Médico / Operador en Portal Web</w:t>
      </w:r>
    </w:p>
    <w:p>
      <w:pPr>
        <w:spacing w:line="276" w:lineRule="auto" w:before="0" w:after="60"/>
        <w:jc w:val="both"/>
      </w:pPr>
      <w:r>
        <w:rPr>
          <w:rFonts w:ascii="Calibri" w:hAnsi="Calibri"/>
          <w:b/>
          <w:color w:val="1F2937"/>
          <w:sz w:val="20"/>
        </w:rPr>
        <w:t xml:space="preserve">Capacidades de Escalabilidad Multi-Empresa: </w:t>
      </w:r>
      <w:r>
        <w:rPr>
          <w:rFonts w:ascii="Calibri" w:hAnsi="Calibri"/>
          <w:color w:val="1F2937"/>
          <w:sz w:val="20"/>
        </w:rPr>
        <w:t>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jc w:val="both"/>
      </w:pPr>
      <w:r>
        <w:rPr>
          <w:rFonts w:ascii="Calibri" w:hAnsi="Calibri"/>
          <w:color w:val="1F2937"/>
          <w:sz w:val="20"/>
        </w:rPr>
        <w:t>• Gestión Multi-Sucursal Dinámica: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jc w:val="both"/>
      </w:pPr>
      <w:r>
        <w:rPr>
          <w:rFonts w:ascii="Calibri" w:hAnsi="Calibri"/>
          <w:color w:val="1F2937"/>
          <w:sz w:val="20"/>
        </w:rPr>
        <w:t>• Segmentación por Especialidad y Perfil Profesional: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80"/>
        <w:jc w:val="both"/>
      </w:pPr>
      <w:r>
        <w:rPr>
          <w:rFonts w:ascii="Calibri" w:hAnsi="Calibri"/>
          <w:color w:val="1F2937"/>
          <w:sz w:val="20"/>
        </w:rPr>
        <w:t>• Telemetría de Auditoría Criptográfica: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0F2C59"/>
            <w:tcMar>
              <w:top w:w="100" w:type="dxa"/>
              <w:left w:w="80" w:type="dxa"/>
              <w:bottom w:w="100" w:type="dxa"/>
              <w:right w:w="80" w:type="dxa"/>
            </w:tcMar>
          </w:tcPr>
          <w:p>
            <w:pPr>
              <w:keepNext/>
              <w:keepLines/>
              <w:jc w:val="center"/>
            </w:pPr>
            <w:r>
              <w:rPr>
                <w:b/>
                <w:color w:val="FFFFFF"/>
                <w:sz w:val="16"/>
              </w:rPr>
              <w:t>1. ESTRUCTURA HÍBRIDA</w:t>
            </w:r>
          </w:p>
        </w:tc>
        <w:tc>
          <w:tcPr>
            <w:tcW w:type="dxa" w:w="1872"/>
            <w:shd w:fill="0F2C59"/>
            <w:tcMar>
              <w:top w:w="100" w:type="dxa"/>
              <w:left w:w="80" w:type="dxa"/>
              <w:bottom w:w="100" w:type="dxa"/>
              <w:right w:w="80" w:type="dxa"/>
            </w:tcMar>
          </w:tcPr>
          <w:p>
            <w:pPr>
              <w:keepNext/>
              <w:keepLines/>
              <w:jc w:val="center"/>
            </w:pPr>
            <w:r>
              <w:rPr>
                <w:b/>
                <w:color w:val="FFFFFF"/>
                <w:sz w:val="16"/>
              </w:rPr>
              <w:t>2. DISPENSACIÓN DUAL</w:t>
            </w:r>
          </w:p>
        </w:tc>
        <w:tc>
          <w:tcPr>
            <w:tcW w:type="dxa" w:w="1872"/>
            <w:shd w:fill="0F2C59"/>
            <w:tcMar>
              <w:top w:w="100" w:type="dxa"/>
              <w:left w:w="80" w:type="dxa"/>
              <w:bottom w:w="100" w:type="dxa"/>
              <w:right w:w="80" w:type="dxa"/>
            </w:tcMar>
          </w:tcPr>
          <w:p>
            <w:pPr>
              <w:keepNext/>
              <w:keepLines/>
              <w:jc w:val="center"/>
            </w:pPr>
            <w:r>
              <w:rPr>
                <w:b/>
                <w:color w:val="FFFFFF"/>
                <w:sz w:val="16"/>
              </w:rPr>
              <w:t>3. FRÍO NOM-251 (2-4°C)</w:t>
            </w:r>
          </w:p>
        </w:tc>
        <w:tc>
          <w:tcPr>
            <w:tcW w:type="dxa" w:w="1872"/>
            <w:shd w:fill="0F2C59"/>
            <w:tcMar>
              <w:top w:w="100" w:type="dxa"/>
              <w:left w:w="80" w:type="dxa"/>
              <w:bottom w:w="100" w:type="dxa"/>
              <w:right w:w="80" w:type="dxa"/>
            </w:tcMar>
          </w:tcPr>
          <w:p>
            <w:pPr>
              <w:keepNext/>
              <w:keepLines/>
              <w:jc w:val="center"/>
            </w:pPr>
            <w:r>
              <w:rPr>
                <w:b/>
                <w:color w:val="FFFFFF"/>
                <w:sz w:val="16"/>
              </w:rPr>
              <w:t>4. FIRMWARE CADUCIDAD</w:t>
            </w:r>
          </w:p>
        </w:tc>
        <w:tc>
          <w:tcPr>
            <w:tcW w:type="dxa" w:w="1872"/>
            <w:shd w:fill="0F2C59"/>
            <w:tcMar>
              <w:top w:w="100" w:type="dxa"/>
              <w:left w:w="80" w:type="dxa"/>
              <w:bottom w:w="100" w:type="dxa"/>
              <w:right w:w="80" w:type="dxa"/>
            </w:tcMar>
          </w:tcPr>
          <w:p>
            <w:pPr>
              <w:keepNext/>
              <w:keepLines/>
              <w:jc w:val="center"/>
            </w:pPr>
            <w:r>
              <w:rPr>
                <w:b/>
                <w:color w:val="FFFFFF"/>
                <w:sz w:val="16"/>
              </w:rPr>
              <w:t>5. NUBE Y GEMELO 3D</w:t>
            </w:r>
          </w:p>
        </w:tc>
      </w:tr>
      <w:tr>
        <w:trPr>
          <w:cantSplit/>
        </w:trP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Bastidor PTR 1 1/2"</w:t>
              <w:br/>
              <w:t>• Escalerilla 12 vigas</w:t>
              <w:br/>
              <w:t>• 12 Vigas 91 cm apoyo</w:t>
              <w:br/>
              <w:t>• Divisora Z=460 mm</w:t>
              <w:b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Bandejas 1-2: Comida</w:t>
              <w:br/>
              <w:t>• Doble espiral ancha Ø120</w:t>
              <w:br/>
              <w:t>• Bandejas 3-6: Bebidas</w:t>
              <w:br/>
              <w:t>• Motor 24V 18 kgf-cm</w:t>
              <w:b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Rango 2 °C a 4 °C</w:t>
              <w:br/>
              <w:t>• Compresor 1/3 HP [5]</w:t>
              <w:br/>
              <w:t>• Convección forzada</w:t>
              <w:br/>
              <w:t>• Norma NOM-251 [15]</w:t>
              <w:b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Control caducidad 14h</w:t>
              <w:br/>
              <w:t>• Bloqueo auto canal</w:t>
              <w:br/>
              <w:t>• Matriz 8x6 Relés</w:t>
              <w:br/>
              <w:t>• ESP32 + 4G LTE [10]</w:t>
              <w:b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FastAPI en Python</w:t>
              <w:br/>
              <w:t>• Broker MQTT Seguro</w:t>
              <w:br/>
              <w:t>• Webhook Mercado Pago</w:t>
              <w:br/>
              <w:t>• Gemelo Three.js / Spline</w:t>
              <w:br/>
              <w:t>• Video Dual MediaMTX</w:t>
            </w:r>
          </w:p>
        </w:tc>
      </w:tr>
    </w:tbl>
    <w:p>
      <w:pPr>
        <w:spacing w:after="80"/>
      </w:pPr>
    </w:p>
    <w:p>
      <w:pPr>
        <w:keepNext/>
        <w:spacing w:before="260" w:after="80"/>
        <w:pBdr>
          <w:bottom w:val="single" w:sz="6" w:space="2" w:color="1E40AF"/>
        </w:pBdr>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jc w:val="center"/>
      </w:pPr>
      <w:r>
        <w:drawing>
          <wp:inline xmlns:a="http://schemas.openxmlformats.org/drawingml/2006/main" xmlns:pic="http://schemas.openxmlformats.org/drawingml/2006/picture">
            <wp:extent cx="4572000" cy="5710446"/>
            <wp:docPr id="3" name="Picture 3"/>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13"/>
                    <a:stretch>
                      <a:fillRect/>
                    </a:stretch>
                  </pic:blipFill>
                  <pic:spPr>
                    <a:xfrm>
                      <a:off x="0" y="0"/>
                      <a:ext cx="4572000" cy="5710446"/>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Ensamble general tridimensional del gabinete oficial en Autodesk Fusion 360: cerramiento perimetral liso en chapa Calibre 18, techo plano a 1,830 mm, compuerta basculante sin manija y compartimento de máquinas inferior.</w:t>
      </w:r>
    </w:p>
    <w:p>
      <w:pPr>
        <w:keepNext/>
        <w:spacing w:before="260" w:after="80"/>
        <w:pBdr>
          <w:bottom w:val="single" w:sz="6" w:space="2" w:color="1E40AF"/>
        </w:pBdr>
      </w:pPr>
      <w:r>
        <w:rPr>
          <w:rFonts w:ascii="Calibri" w:hAnsi="Calibri"/>
          <w:b/>
          <w:color w:val="1E40AF"/>
          <w:sz w:val="24"/>
        </w:rPr>
        <w:t>7.2 Subsistema Mecánico de Dispensación: Arquitectura 1+4+1, Espirales Gigantes y Tubos Doblados 3D</w:t>
      </w:r>
    </w:p>
    <w:p>
      <w:pPr>
        <w:spacing w:line="276" w:lineRule="auto" w:before="0" w:after="60"/>
        <w:jc w:val="both"/>
      </w:pPr>
      <w:r>
        <w:rPr>
          <w:rFonts w:ascii="Calibri" w:hAnsi="Calibri"/>
          <w:b/>
          <w:color w:val="1F2937"/>
          <w:sz w:val="20"/>
        </w:rPr>
        <w:t xml:space="preserve">Arquitectura 1+4+1 y Capacidad Total de 36 Motores: </w:t>
      </w:r>
      <w:r>
        <w:rPr>
          <w:rFonts w:ascii="Calibri" w:hAnsi="Calibri"/>
          <w:color w:val="1F2937"/>
          <w:sz w:val="20"/>
        </w:rPr>
        <w:t>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jc w:val="both"/>
      </w:pPr>
      <w:r>
        <w:rPr>
          <w:rFonts w:ascii="Calibri" w:hAnsi="Calibri"/>
          <w:color w:val="1F2937"/>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jc w:val="both"/>
      </w:pPr>
      <w:r>
        <w:rPr>
          <w:rFonts w:ascii="Calibri" w:hAnsi="Calibri"/>
          <w:color w:val="1F2937"/>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jc w:val="both"/>
      </w:pPr>
      <w:r>
        <w:rPr>
          <w:rFonts w:ascii="Calibri" w:hAnsi="Calibri"/>
          <w:color w:val="1F2937"/>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80"/>
        <w:jc w:val="both"/>
      </w:pPr>
      <w:r>
        <w:rPr>
          <w:rFonts w:ascii="Calibri" w:hAnsi="Calibri"/>
          <w:color w:val="1F2937"/>
          <w:sz w:val="20"/>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pPr>
      <w:r>
        <w:rPr>
          <w:rFonts w:ascii="Calibri" w:hAnsi="Calibri"/>
          <w:b/>
          <w:color w:val="B45309"/>
          <w:sz w:val="21"/>
        </w:rPr>
        <w:t>7.2.1 Especificaciones de Taller Mecánico y Cinemática 3D de Bahías Unificadas en Fusion 360</w:t>
      </w:r>
    </w:p>
    <w:p>
      <w:pPr>
        <w:spacing w:line="276" w:lineRule="auto" w:before="0" w:after="60"/>
        <w:jc w:val="both"/>
      </w:pPr>
      <w:r>
        <w:rPr>
          <w:rFonts w:ascii="Calibri" w:hAnsi="Calibri"/>
          <w:b/>
          <w:color w:val="1F2937"/>
          <w:sz w:val="20"/>
        </w:rPr>
        <w:t xml:space="preserve">Cinemática de Bahías Mixtas 1+4+1: </w:t>
      </w:r>
      <w:r>
        <w:rPr>
          <w:rFonts w:ascii="Calibri" w:hAnsi="Calibri"/>
          <w:color w:val="1F2937"/>
          <w:sz w:val="20"/>
        </w:rPr>
        <w:t>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jc w:val="both"/>
      </w:pPr>
      <w:r>
        <w:rPr>
          <w:rFonts w:ascii="Calibri" w:hAnsi="Calibri"/>
          <w:color w:val="1F2937"/>
          <w:sz w:val="20"/>
        </w:rPr>
        <w:t>• Bahía Lateral Izquierda Unificada (Canal 1 / Columna 1):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jc w:val="both"/>
      </w:pPr>
      <w:r>
        <w:rPr>
          <w:rFonts w:ascii="Calibri" w:hAnsi="Calibri"/>
          <w:color w:val="1F2937"/>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jc w:val="both"/>
      </w:pPr>
      <w:r>
        <w:rPr>
          <w:rFonts w:ascii="Calibri" w:hAnsi="Calibri"/>
          <w:color w:val="1F2937"/>
          <w:sz w:val="20"/>
        </w:rPr>
        <w:t>• Bahía Lateral Derecha Unificada (Canal 6 / Columna 6):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80"/>
        <w:jc w:val="both"/>
      </w:pPr>
      <w:r>
        <w:rPr>
          <w:rFonts w:ascii="Calibri" w:hAnsi="Calibri"/>
          <w:color w:val="1F2937"/>
          <w:sz w:val="20"/>
        </w:rPr>
        <w:t>• Cinemática de Avance Coaxial y Prevención de Atoramientos: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p>
      <w:r>
        <w:br w:type="page"/>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Mecánica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Soporte de carga distribuida de 23.12 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Separación física de canales y guiado lateral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Impulsión coaxial de tuppers cuadrados de 650 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Dosificación unitaria de bebidas de 355-600 ml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Transmisión de par motor sin holgura (D-Shaft 6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jc w:val="center"/>
      </w:pPr>
      <w:r>
        <w:drawing>
          <wp:inline xmlns:a="http://schemas.openxmlformats.org/drawingml/2006/main" xmlns:pic="http://schemas.openxmlformats.org/drawingml/2006/picture">
            <wp:extent cx="4572000" cy="2873696"/>
            <wp:docPr id="4" name="Picture 4"/>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14"/>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7.2a. </w:t>
      </w:r>
      <w:r>
        <w:rPr>
          <w:rFonts w:ascii="Calibri" w:hAnsi="Calibri"/>
          <w:i/>
          <w:color w:val="4B5563"/>
          <w:sz w:val="18"/>
        </w:rPr>
        <w:t>Configuración de bandejas 1+4+1 en Autodesk Fusion 360: espirales helicoidales exteriores de Ø 144 mm para recipientes cuadrados y 4 centrales de Ø 70 mm para bebidas frías.</w:t>
      </w:r>
    </w:p>
    <w:p>
      <w:pPr>
        <w:jc w:val="center"/>
      </w:pPr>
      <w:r>
        <w:drawing>
          <wp:inline xmlns:a="http://schemas.openxmlformats.org/drawingml/2006/main" xmlns:pic="http://schemas.openxmlformats.org/drawingml/2006/picture">
            <wp:extent cx="4023360" cy="6369577"/>
            <wp:docPr id="5" name="Picture 5"/>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15"/>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7.2b. </w:t>
      </w:r>
      <w:r>
        <w:rPr>
          <w:rFonts w:ascii="Calibri" w:hAnsi="Calibri"/>
          <w:i/>
          <w:color w:val="4B5563"/>
          <w:sz w:val="18"/>
        </w:rPr>
        <w:t>Detalle constructivo de guías telescópicas de extracción total y mecanismo de cerrojo lateral en el marco perimetral.</w:t>
      </w:r>
    </w:p>
    <w:p>
      <w:pPr>
        <w:keepNext/>
        <w:spacing w:before="260" w:after="80"/>
        <w:pBdr>
          <w:bottom w:val="single" w:sz="6" w:space="2" w:color="1E40AF"/>
        </w:pBdr>
      </w:pPr>
      <w:r>
        <w:rPr>
          <w:rFonts w:ascii="Calibri" w:hAnsi="Calibri"/>
          <w:b/>
          <w:color w:val="1E40AF"/>
          <w:sz w:val="24"/>
        </w:rPr>
        <w:t>7.3 Subsistema Frigorífico y Sala de Máquinas Inferior: Compresor 1/5 HP, Acumulador y Toberas 6 Niveles</w:t>
      </w:r>
    </w:p>
    <w:p>
      <w:pPr>
        <w:spacing w:line="276" w:lineRule="auto" w:before="0" w:after="60"/>
        <w:jc w:val="both"/>
      </w:pPr>
      <w:r>
        <w:rPr>
          <w:rFonts w:ascii="Calibri" w:hAnsi="Calibri"/>
          <w:b/>
          <w:color w:val="1F2937"/>
          <w:sz w:val="20"/>
        </w:rPr>
        <w:t xml:space="preserve">Modelado Exhaustivo de Sala de Máquinas y Climatización: </w:t>
      </w:r>
      <w:r>
        <w:rPr>
          <w:rFonts w:ascii="Calibri" w:hAnsi="Calibri"/>
          <w:color w:val="1F2937"/>
          <w:sz w:val="20"/>
        </w:rPr>
        <w:t>La sala de máquinas inferior (Z = 0 a 460 mm) ha sido modelada con exactitud milimétrica en Fusion 360, integrando todos los componentes termodinámicos de refrigeración comercial por compresión de vapor:</w:t>
      </w:r>
    </w:p>
    <w:p>
      <w:pPr>
        <w:keepNext/>
        <w:spacing w:line="276" w:lineRule="auto" w:before="0" w:after="60"/>
        <w:jc w:val="both"/>
      </w:pPr>
      <w:r>
        <w:rPr>
          <w:rFonts w:ascii="Calibri" w:hAnsi="Calibri"/>
          <w:color w:val="1F2937"/>
          <w:sz w:val="20"/>
        </w:rPr>
        <w:t>1. Bancada Antivibratoria de Chapa de 6 mm: Montada sobre dos vigas anchas estructurales de 100 mm a Y = 260 mm (DROP_DEPTH), cuenta con travesaños de arriostramiento en PTR y soporta el conjunto frigorífico sin deformaciones ni resonancia estructural.</w:t>
      </w:r>
    </w:p>
    <w:p>
      <w:pPr>
        <w:keepNext/>
        <w:spacing w:line="276" w:lineRule="auto" w:before="0" w:after="60"/>
        <w:jc w:val="both"/>
      </w:pPr>
      <w:r>
        <w:rPr>
          <w:rFonts w:ascii="Calibri" w:hAnsi="Calibri"/>
          <w:color w:val="1F2937"/>
          <w:sz w:val="20"/>
        </w:rPr>
        <w:t>2. Compresor Hermético de 1/5 HP (150W): Modelo comercial de alta eficiencia para R-134a montado en X = 24.0 cm, Y = 56.0 cm sobre 4 tacones silentblocks de neopreno de Ø 32 mm, desacoplando mecánicamente las vibraciones del chasis principal.</w:t>
      </w:r>
    </w:p>
    <w:p>
      <w:pPr>
        <w:keepNext/>
        <w:spacing w:line="276" w:lineRule="auto" w:before="0" w:after="60"/>
        <w:jc w:val="both"/>
      </w:pPr>
      <w:r>
        <w:rPr>
          <w:rFonts w:ascii="Calibri" w:hAnsi="Calibri"/>
          <w:color w:val="1F2937"/>
          <w:sz w:val="20"/>
        </w:rPr>
        <w:t>3. Acumulador de Succión y Separador de Aceite: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keepNext/>
        <w:spacing w:line="276" w:lineRule="auto" w:before="0" w:after="60"/>
        <w:jc w:val="both"/>
      </w:pPr>
      <w:r>
        <w:rPr>
          <w:rFonts w:ascii="Calibri" w:hAnsi="Calibri"/>
          <w:color w:val="1F2937"/>
          <w:sz w:val="20"/>
        </w:rPr>
        <w:t>4. Unidad Condensadora y Ventilador Helicoidal: Serpentín de cobre con aletas de aluminio de 6 hileras con curvas en U (U-bends) de 260 × 240 mm y motoventilador axial de 120 mm con rejilla circular concéntrica de protección que impulsa el aire caliente a través de louvers estampados.</w:t>
      </w:r>
    </w:p>
    <w:p>
      <w:pPr>
        <w:keepNext/>
        <w:spacing w:line="276" w:lineRule="auto" w:before="0" w:after="60"/>
        <w:jc w:val="both"/>
      </w:pPr>
      <w:r>
        <w:rPr>
          <w:rFonts w:ascii="Calibri" w:hAnsi="Calibri"/>
          <w:color w:val="1F2937"/>
          <w:sz w:val="20"/>
        </w:rPr>
        <w:t>5. Consola Frontal de Manómetros y Presostato Dual: Consola de servicio en X = 42.0 cm con dos manómetros industriales de glicerina (baja presión 0-100 PSI y alta presión 0-400 PSI) y presostato electromecánico dual Danfoss KP15 para corte de seguridad por sobrepresión o fuga.</w:t>
      </w:r>
    </w:p>
    <w:p>
      <w:pPr>
        <w:keepNext/>
        <w:spacing w:line="276" w:lineRule="auto" w:before="0" w:after="60"/>
        <w:jc w:val="both"/>
      </w:pPr>
      <w:r>
        <w:rPr>
          <w:rFonts w:ascii="Calibri" w:hAnsi="Calibri"/>
          <w:color w:val="1F2937"/>
          <w:sz w:val="20"/>
        </w:rPr>
        <w:t>6. Filtro Deshidratador y Válvula Solenoide: Filtro secador de tamiz molecular en la línea de líquido con visor de humedad y válvula solenoide Danfoss EVR de 24V DC para corte pump-down del refrigerante al alcanzar la consigna térmica.</w:t>
      </w:r>
    </w:p>
    <w:p>
      <w:pPr>
        <w:keepNext/>
        <w:spacing w:line="276" w:lineRule="auto" w:before="0" w:after="60"/>
        <w:jc w:val="both"/>
      </w:pPr>
      <w:r>
        <w:rPr>
          <w:rFonts w:ascii="Calibri" w:hAnsi="Calibri"/>
          <w:color w:val="1F2937"/>
          <w:sz w:val="20"/>
        </w:rPr>
        <w:t>7. Columna Vertical de Climatización y Toberas a 6 Niveles: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keepNext/>
        <w:spacing w:line="276" w:lineRule="auto" w:before="0" w:after="80"/>
        <w:jc w:val="both"/>
      </w:pPr>
      <w:r>
        <w:rPr>
          <w:rFonts w:ascii="Calibri" w:hAnsi="Calibri"/>
          <w:color w:val="1F2937"/>
          <w:sz w:val="20"/>
        </w:rPr>
        <w:t>8. Termostato Digital NOM-251 Carel / Dixell: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Sobrecalentamiento ΔT_sh = 7.0 K, v1 = 0.0845 m³/kg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Compresión politrópica (η_s = 0.72), w_comp = 53.82 kJ/kg</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Subenfriamiento ΔT_sc = 5.0 K, q_cond = 183.50 kJ/kg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Cálculos Analíticos del Ciclo Frigorífico R134a a 42.0 °C Exterior (NOM-251)</w:t>
              <w:br/>
            </w:r>
            <w:r>
              <w:rPr>
                <w:rFonts w:ascii="Calibri" w:hAnsi="Calibri"/>
                <w:i/>
                <w:color w:val="1F2937"/>
                <w:sz w:val="19"/>
              </w:rPr>
              <w:t>Flujo másico requerido para una carga térmica canicular total de Q_evap = 485 W (0.138 TR) y efecto refrigerante neto q_evap = h1 - h4 = 129.68 kJ/kg:</w:t>
              <w:br/>
            </w:r>
          </w:p>
          <w:p>
            <w:pPr>
              <w:jc w:val="center"/>
              <w:keepLines/>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keepLines/>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keepLines/>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keepLines/>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keepLines/>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tc>
      </w:tr>
    </w:tbl>
    <w:p>
      <w:pPr>
        <w:spacing w:before="0" w:after="80"/>
      </w:pPr>
    </w:p>
    <w:p>
      <w:pPr>
        <w:spacing w:line="276" w:lineRule="auto" w:before="0" w:after="60"/>
        <w:jc w:val="both"/>
      </w:pPr>
      <w:r>
        <w:rPr>
          <w:rFonts w:ascii="Calibri" w:hAnsi="Calibri"/>
          <w:b/>
          <w:color w:val="1F2937"/>
          <w:sz w:val="20"/>
        </w:rPr>
        <w:t xml:space="preserve">Red de Distribución y Aerodinámica de Toberas: </w:t>
      </w:r>
      <w:r>
        <w:rPr>
          <w:rFonts w:ascii="Calibri" w:hAnsi="Calibri"/>
          <w:color w:val="1F2937"/>
          <w:sz w:val="20"/>
        </w:rPr>
        <w:t>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jc w:val="both"/>
      </w:pPr>
      <w:r>
        <w:rPr>
          <w:rFonts w:ascii="Calibri" w:hAnsi="Calibri"/>
          <w:color w:val="1F2937"/>
          <w:sz w:val="20"/>
        </w:rPr>
        <w:t>• Caudal Total del Ventilador Centrífugo: Q_total = 145 CFM (0.0684 m³/s), generando una recirculación completa del volumen de aire del gabinete cada 12.8 segundos.</w:t>
      </w:r>
    </w:p>
    <w:p>
      <w:pPr>
        <w:spacing w:line="276" w:lineRule="auto" w:before="0" w:after="80"/>
        <w:jc w:val="both"/>
      </w:pPr>
      <w:r>
        <w:rPr>
          <w:rFonts w:ascii="Calibri" w:hAnsi="Calibri"/>
          <w:color w:val="1F2937"/>
          <w:sz w:val="20"/>
        </w:rPr>
        <w:t>• Distribución Balanceada de Caudal: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jc w:val="center"/>
      </w:pPr>
      <w:r>
        <w:drawing>
          <wp:inline xmlns:a="http://schemas.openxmlformats.org/drawingml/2006/main" xmlns:pic="http://schemas.openxmlformats.org/drawingml/2006/picture">
            <wp:extent cx="4572000" cy="2790477"/>
            <wp:docPr id="6" name="Picture 6"/>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16"/>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7.2c. </w:t>
      </w:r>
      <w:r>
        <w:rPr>
          <w:rFonts w:ascii="Calibri" w:hAnsi="Calibri"/>
          <w:i/>
          <w:color w:val="4B5563"/>
          <w:sz w:val="18"/>
        </w:rPr>
        <w:t>Sala de máquinas frigorífica BOWA en Autodesk Fusion 360: motocompresor Embraco 1/5 HP, condensador y tubería R134a.</w:t>
      </w:r>
    </w:p>
    <w:p>
      <w:pPr>
        <w:jc w:val="center"/>
      </w:pPr>
      <w:r>
        <w:drawing>
          <wp:inline xmlns:a="http://schemas.openxmlformats.org/drawingml/2006/main" xmlns:pic="http://schemas.openxmlformats.org/drawingml/2006/picture">
            <wp:extent cx="4389120" cy="2674620"/>
            <wp:docPr id="7" name="Picture 7"/>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17"/>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7.2d. </w:t>
      </w:r>
      <w:r>
        <w:rPr>
          <w:rFonts w:ascii="Calibri" w:hAnsi="Calibri"/>
          <w:i/>
          <w:color w:val="4B5563"/>
          <w:sz w:val="18"/>
        </w:rPr>
        <w:t>Perspectiva del paquete de condensación con ventilador axial de tiro forzado, filtro deshidratador y base con ruedas.</w:t>
      </w:r>
    </w:p>
    <w:p>
      <w:pPr>
        <w:keepNext/>
        <w:spacing w:before="260" w:after="80"/>
        <w:pBdr>
          <w:bottom w:val="single" w:sz="6" w:space="2" w:color="1E40AF"/>
        </w:pBdr>
      </w:pPr>
      <w:r>
        <w:rPr>
          <w:rFonts w:ascii="Calibri" w:hAnsi="Calibri"/>
          <w:b/>
          <w:color w:val="1E40AF"/>
          <w:sz w:val="24"/>
        </w:rPr>
        <w:t>7.4 Terminal Táctil 10.1 Pulgadas, Cerebro Posterior Modular y Gabinete Ultra-Delgado MOSFET de Pared Izquierda</w:t>
      </w:r>
    </w:p>
    <w:p>
      <w:pPr>
        <w:spacing w:line="276" w:lineRule="auto" w:before="0" w:after="60"/>
        <w:jc w:val="both"/>
      </w:pPr>
      <w:r>
        <w:rPr>
          <w:rFonts w:ascii="Calibri" w:hAnsi="Calibri"/>
          <w:b/>
          <w:color w:val="1F2937"/>
          <w:sz w:val="20"/>
        </w:rPr>
        <w:t xml:space="preserve">Consola Touch 10.1 Pulgadas, Cerebro Modular y Gabinete MOSFET Ultra-Delgado: </w:t>
      </w:r>
      <w:r>
        <w:rPr>
          <w:rFonts w:ascii="Calibri" w:hAnsi="Calibri"/>
          <w:color w:val="1F2937"/>
          <w:sz w:val="20"/>
        </w:rPr>
        <w:t>La interfaz humana y el sistema electrónico de control se integran limpiamente en la carrocería en tres módulos complementarios:</w:t>
      </w:r>
    </w:p>
    <w:p>
      <w:pPr>
        <w:spacing w:line="276" w:lineRule="auto" w:before="0" w:after="60"/>
        <w:jc w:val="both"/>
      </w:pPr>
      <w:r>
        <w:rPr>
          <w:rFonts w:ascii="Calibri" w:hAnsi="Calibri"/>
          <w:color w:val="1F2937"/>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jc w:val="both"/>
      </w:pPr>
      <w:r>
        <w:rPr>
          <w:rFonts w:ascii="Calibri" w:hAnsi="Calibri"/>
          <w:color w:val="1F2937"/>
          <w:sz w:val="20"/>
        </w:rPr>
        <w:t>• Gabinete Posterior del Cerebro Electrónico Modular: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F2937"/>
          <w:sz w:val="20"/>
        </w:rPr>
        <w:t>a) Ordenador SBC Raspberry Pi 4 / 5 con disipador de aluminio negro sobre SoC Broadcom, puerto Gigabit Ethernet y puertos USB 3.0.</w:t>
      </w:r>
    </w:p>
    <w:p>
      <w:pPr>
        <w:spacing w:line="276" w:lineRule="auto" w:before="0" w:after="60"/>
        <w:jc w:val="both"/>
      </w:pPr>
      <w:r>
        <w:rPr>
          <w:rFonts w:ascii="Calibri" w:hAnsi="Calibri"/>
          <w:color w:val="1F2937"/>
          <w:sz w:val="20"/>
        </w:rPr>
        <w:t>b) Microcontrolador maestro ESP32 DevKit v1 en zócalos M2 con blindaje de radiofrecuencia para telemetría Wi-Fi/Bluetooth.</w:t>
      </w:r>
    </w:p>
    <w:p>
      <w:pPr>
        <w:spacing w:line="276" w:lineRule="auto" w:before="0" w:after="60"/>
        <w:jc w:val="both"/>
      </w:pPr>
      <w:r>
        <w:rPr>
          <w:rFonts w:ascii="Calibri" w:hAnsi="Calibri"/>
          <w:color w:val="1F2937"/>
          <w:sz w:val="20"/>
        </w:rPr>
        <w:t>c) Módulo regulador reductor Buck Step-Down DC-DC comercial de 24V a 5V 5A de alta eficiencia para lógica y pantalla.</w:t>
      </w:r>
    </w:p>
    <w:p>
      <w:pPr>
        <w:spacing w:line="276" w:lineRule="auto" w:before="0" w:after="60"/>
        <w:jc w:val="both"/>
      </w:pPr>
      <w:r>
        <w:rPr>
          <w:rFonts w:ascii="Calibri" w:hAnsi="Calibri"/>
          <w:color w:val="1F2937"/>
          <w:sz w:val="20"/>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80"/>
        <w:jc w:val="both"/>
      </w:pPr>
      <w:r>
        <w:rPr>
          <w:rFonts w:ascii="Calibri" w:hAnsi="Calibri"/>
          <w:color w:val="1F2937"/>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jc w:val="center"/>
      </w:pPr>
      <w:r>
        <w:drawing>
          <wp:inline xmlns:a="http://schemas.openxmlformats.org/drawingml/2006/main" xmlns:pic="http://schemas.openxmlformats.org/drawingml/2006/picture">
            <wp:extent cx="4389120" cy="2194560"/>
            <wp:docPr id="8" name="Picture 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18"/>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7.2e. </w:t>
      </w:r>
      <w:r>
        <w:rPr>
          <w:rFonts w:ascii="Calibri" w:hAnsi="Calibri"/>
          <w:i/>
          <w:color w:val="4B5563"/>
          <w:sz w:val="18"/>
        </w:rPr>
        <w:t>Ensamble interior de la fascia superior: chasis de pantalla táctil de 10.1 pulgadas, alojamiento para SBC Raspberry Pi y altavoz.</w:t>
      </w:r>
    </w:p>
    <w:p>
      <w:pPr>
        <w:jc w:val="center"/>
      </w:pPr>
      <w:r>
        <w:drawing>
          <wp:inline xmlns:a="http://schemas.openxmlformats.org/drawingml/2006/main" xmlns:pic="http://schemas.openxmlformats.org/drawingml/2006/picture">
            <wp:extent cx="4206240" cy="2971800"/>
            <wp:docPr id="9" name="Picture 9"/>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19"/>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7.2f. </w:t>
      </w:r>
      <w:r>
        <w:rPr>
          <w:rFonts w:ascii="Calibri" w:hAnsi="Calibri"/>
          <w:i/>
          <w:color w:val="4B5563"/>
          <w:sz w:val="18"/>
        </w:rPr>
        <w:t>Compuerta inferior de servicio con louvers horizontales de ventilación, cerradura de llave y ruedas giratorias de grado pesado.</w:t>
      </w:r>
    </w:p>
    <w:p>
      <w:pPr>
        <w:keepNext/>
        <w:spacing w:before="260" w:after="80"/>
        <w:pBdr>
          <w:bottom w:val="single" w:sz="6" w:space="2" w:color="1E40AF"/>
        </w:pBdr>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60"/>
        <w:jc w:val="both"/>
      </w:pPr>
      <w:r>
        <w:rPr>
          <w:rFonts w:ascii="Calibri" w:hAnsi="Calibri"/>
          <w:b/>
          <w:color w:val="1F2937"/>
          <w:sz w:val="20"/>
        </w:rPr>
        <w:t xml:space="preserve">Topología de los Canales de Conmutación y Protecciones: </w:t>
      </w:r>
      <w:r>
        <w:rPr>
          <w:rFonts w:ascii="Calibri" w:hAnsi="Calibri"/>
          <w:color w:val="1F2937"/>
          <w:sz w:val="20"/>
        </w:rPr>
        <w:t>•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jc w:val="both"/>
      </w:pPr>
      <w:r>
        <w:rPr>
          <w:rFonts w:ascii="Calibri" w:hAnsi="Calibri"/>
          <w:color w:val="1F2937"/>
          <w:sz w:val="20"/>
        </w:rPr>
        <w:t>• Conmutación Lado Bajo (Low-Side GND):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jc w:val="both"/>
      </w:pPr>
      <w:r>
        <w:rPr>
          <w:rFonts w:ascii="Calibri" w:hAnsi="Calibri"/>
          <w:color w:val="1F2937"/>
          <w:sz w:val="20"/>
        </w:rPr>
        <w:t>• Aislamiento Óptico Galvánico: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80"/>
        <w:jc w:val="both"/>
      </w:pPr>
      <w:r>
        <w:rPr>
          <w:rFonts w:ascii="Calibri" w:hAnsi="Calibri"/>
          <w:color w:val="1F2937"/>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 / CÓDIGO LCSC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Infineon / LCSC C75882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 LCSC C2599</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LCSC C76953</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 LCSC C64898</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Texas Instruments / C29781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 Oficial</w:t>
            </w:r>
          </w:p>
        </w:tc>
      </w:tr>
    </w:tbl>
    <w:p>
      <w:pPr>
        <w:keepNext/>
        <w:spacing w:before="180" w:after="60"/>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DIMENSIONAMIENTO TÉRMICO DE PISTAS DE POTENCIA EN PCB SEGÚN IPC-2221</w:t>
              <w:br/>
            </w:r>
            <w:r>
              <w:rPr>
                <w:rFonts w:ascii="Calibri" w:hAnsi="Calibri"/>
                <w:i/>
                <w:color w:val="1F2937"/>
                <w:sz w:val="19"/>
              </w:rPr>
              <w:t>Deducción analítica del ancho de conductor para soportar picos de 3.0 A con incremento de temperatura menor a 2 °C:</w:t>
              <w:br/>
            </w:r>
          </w:p>
          <w:p>
            <w:pPr>
              <w:keepLines/>
              <w:spacing w:before="40" w:after="40" w:line="276" w:lineRule="auto"/>
            </w:pPr>
            <w:r>
              <w:rPr>
                <w:rFonts w:ascii="Calibri" w:hAnsi="Calibri"/>
                <w:b/>
                <w:color w:val="1E40AF"/>
                <w:sz w:val="19"/>
              </w:rPr>
              <w:t>▶ Paso 1: Ecuación Universal de Área de Sección Transversal según Norma IPC-2221</w:t>
            </w:r>
          </w:p>
          <w:p>
            <w:pPr>
              <w:keepLines/>
              <w:spacing w:before="0" w:after="60" w:line="276" w:lineRule="auto"/>
              <w:jc w:val="both"/>
            </w:pPr>
            <w:r>
              <w:rPr>
                <w:rFonts w:ascii="Calibri" w:hAnsi="Calibri"/>
                <w:color w:val="1F2937"/>
                <w:sz w:val="18"/>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keepLines/>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keepLines/>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área de cobre mínima requerida para conducir la corriente transitoria de arranque es de 73.85 mils².</w:t>
            </w:r>
          </w:p>
          <w:p>
            <w:pPr>
              <w:keepLines/>
              <w:spacing w:before="120" w:after="40" w:line="276" w:lineRule="auto"/>
            </w:pPr>
            <w:r>
              <w:rPr>
                <w:rFonts w:ascii="Calibri" w:hAnsi="Calibri"/>
                <w:b/>
                <w:color w:val="1E40AF"/>
                <w:sz w:val="19"/>
              </w:rPr>
              <w:t>▶ Paso 2: Conversión a Ancho Físico de Pista en Milímetros</w:t>
            </w:r>
          </w:p>
          <w:p>
            <w:pPr>
              <w:keepLines/>
              <w:spacing w:before="0" w:after="60" w:line="276" w:lineRule="auto"/>
              <w:jc w:val="both"/>
            </w:pPr>
            <w:r>
              <w:rPr>
                <w:rFonts w:ascii="Calibri" w:hAnsi="Calibri"/>
                <w:color w:val="1F2937"/>
                <w:sz w:val="18"/>
              </w:rPr>
              <w:t>Fundamento Teórico: Para cobre de 1 oz (espesor t = 1.378 mils = 0.035 mm), el ancho teórico W se deduce como W = A / (t · 1.378). Adicionalmente, se aplica un sobredimensionamiento de seguridad en diseño mecatrónico:</w:t>
            </w:r>
          </w:p>
          <w:p>
            <w:pPr>
              <w:jc w:val="center"/>
              <w:keepLines/>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keepLines/>
              <w:spacing w:before="60" w:after="60"/>
            </w:pPr>
            <m:oMathPara>
              <m:oMath>
                <m:sSub>
                  <m:e>
                    <m:r>
                      <m:t>W</m:t>
                    </m:r>
                  </m:e>
                  <m:sub>
                    <m:r>
                      <m:rPr>
                        <m:nor/>
                      </m:rPr>
                      <m:t>diseno</m:t>
                    </m:r>
                  </m:sub>
                </m:sSub>
                <m:r>
                  <m:t>=3.50</m:t>
                </m:r>
                <m:r>
                  <m:rPr>
                    <m:nor/>
                  </m:rPr>
                  <m:t> mm</m:t>
                </m:r>
                <m:r>
                  <m:t>(138</m:t>
                </m:r>
                <m:r>
                  <m:rPr>
                    <m:nor/>
                  </m:rPr>
                  <m:t> mils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adopta un ancho de pista de 3.50 mm (138 mils) en las líneas de +24V y GND, manteniendo el calentamiento del PCB por debajo de 1.8 °C en uso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Verificación de Conducción en PCB: El ancho seleccionado de 3.50 mm en pistas exteriores de 1 oz de cobre disipa holgadamente la corriente de arranque, confiriendo al PCB una durabilidad de más de 100,000 ciclos sin degradación por fatiga térmica.</w:t>
            </w:r>
          </w:p>
        </w:tc>
      </w:tr>
    </w:tbl>
    <w:p>
      <w:pPr>
        <w:spacing w:before="0" w:after="80"/>
      </w:pPr>
    </w:p>
    <w:p>
      <w:pPr>
        <w:keepNext/>
        <w:spacing w:before="180" w:after="60"/>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Energía Inductiva Almacenada y Supresión de Fuerza Contraelectromotriz</w:t>
              <w:br/>
            </w:r>
            <w:r>
              <w:rPr>
                <w:rFonts w:ascii="Calibri" w:hAnsi="Calibri"/>
                <w:i/>
                <w:color w:val="1F2937"/>
                <w:sz w:val="19"/>
              </w:rPr>
              <w:t>Cálculo de energía residual en desconexión y fijación de tensión con diodo Schottky 1N5822:</w:t>
              <w:br/>
            </w:r>
          </w:p>
          <w:p>
            <w:pPr>
              <w:jc w:val="center"/>
              <w:keepLines/>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keepLines/>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keepLines/>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keepLines/>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tc>
      </w:tr>
    </w:tbl>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Margen de Seguridad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416% en voltaje, 1,530% en corriente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229% en voltaje, 3,130% en corriente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Fija sobretensión a máx. 24.45 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 kV</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Dimensionamiento de Red Snubber RC y Atenuación Electromagnética (CISPR 22)</w:t>
              <w:br/>
            </w:r>
            <w:r>
              <w:rPr>
                <w:rFonts w:ascii="Calibri" w:hAnsi="Calibri"/>
                <w:i/>
                <w:color w:val="1F2937"/>
                <w:sz w:val="19"/>
              </w:rPr>
              <w:t>Amortiguamiento de oscilaciones parásitas de alta frecuencia (L_fuga ≈ 1.2 µH, C_oss = 670 pF):</w:t>
              <w:br/>
            </w:r>
          </w:p>
          <w:p>
            <w:pPr>
              <w:jc w:val="center"/>
              <w:keepLines/>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keepLines/>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keepLines/>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keepLines/>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keepLines/>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tc>
      </w:tr>
    </w:tbl>
    <w:p>
      <w:pPr>
        <w:spacing w:before="0" w:after="80"/>
      </w:pPr>
    </w:p>
    <w:p>
      <w:pPr>
        <w:jc w:val="center"/>
      </w:pPr>
      <w:r>
        <w:drawing>
          <wp:inline xmlns:a="http://schemas.openxmlformats.org/drawingml/2006/main" xmlns:pic="http://schemas.openxmlformats.org/drawingml/2006/picture">
            <wp:extent cx="4389120" cy="5685736"/>
            <wp:docPr id="10" name="Picture 10"/>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0"/>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7.2g. </w:t>
      </w:r>
      <w:r>
        <w:rPr>
          <w:rFonts w:ascii="Calibri" w:hAnsi="Calibri"/>
          <w:i/>
          <w:color w:val="4B5563"/>
          <w:sz w:val="18"/>
        </w:rPr>
        <w:t>Vista posterior del gemelo digital en Autodesk Fusion 360: matriz completa de 36 motorreductores 24V DC y canalización central de arneses.</w:t>
      </w:r>
    </w:p>
    <w:p>
      <w:pPr>
        <w:jc w:val="center"/>
      </w:pPr>
      <w:r>
        <w:drawing>
          <wp:inline xmlns:a="http://schemas.openxmlformats.org/drawingml/2006/main" xmlns:pic="http://schemas.openxmlformats.org/drawingml/2006/picture">
            <wp:extent cx="4937760" cy="2888397"/>
            <wp:docPr id="11" name="Picture 11"/>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1"/>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7.3a. </w:t>
      </w:r>
      <w:r>
        <w:rPr>
          <w:rFonts w:ascii="Calibri" w:hAnsi="Calibri"/>
          <w:i/>
          <w:color w:val="4B5563"/>
          <w:sz w:val="18"/>
        </w:rPr>
        <w:t>Diagrama esquemático general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2" name="Picture 12"/>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2"/>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7.3b.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13" name="Picture 13"/>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3"/>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7.3c.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14" name="Picture 14"/>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4"/>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7.3d.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5" name="Picture 15"/>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5"/>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7.3e.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60"/>
        <w:jc w:val="both"/>
      </w:pPr>
      <w:r>
        <w:rPr>
          <w:rFonts w:ascii="Calibri" w:hAnsi="Calibri"/>
          <w:b/>
          <w:color w:val="1F2937"/>
          <w:sz w:val="20"/>
        </w:rPr>
        <w:t xml:space="preserve">Distribución de Cargas por Núcleo de Procesamiento: </w:t>
      </w:r>
      <w:r>
        <w:rPr>
          <w:rFonts w:ascii="Calibri" w:hAnsi="Calibri"/>
          <w:color w:val="1F2937"/>
          <w:sz w:val="20"/>
        </w:rPr>
        <w:t>• Núcleo 0 (Core 0 - Control Mecatrónico y Seguridad en Tiempo Real):</w:t>
      </w:r>
    </w:p>
    <w:p>
      <w:pPr>
        <w:keepNext/>
        <w:spacing w:line="276" w:lineRule="auto" w:before="0" w:after="60"/>
        <w:jc w:val="both"/>
      </w:pPr>
      <w:r>
        <w:rPr>
          <w:rFonts w:ascii="Calibri" w:hAnsi="Calibri"/>
          <w:color w:val="1F2937"/>
          <w:sz w:val="20"/>
        </w:rPr>
        <w:t>1. Tarea de Barrido Matricial de Motores: Conmuta los GPIOs de columnas y filas con temporización precisa mediante temporizadores por hardware (Hardware Timers), ejecutando rampas suaves de aceleración y control de duración de giro (2.40 segundos).</w:t>
      </w:r>
    </w:p>
    <w:p>
      <w:pPr>
        <w:keepNext/>
        <w:spacing w:line="276" w:lineRule="auto" w:before="0" w:after="60"/>
        <w:jc w:val="both"/>
      </w:pPr>
      <w:r>
        <w:rPr>
          <w:rFonts w:ascii="Calibri" w:hAnsi="Calibri"/>
          <w:color w:val="1F2937"/>
          <w:sz w:val="20"/>
        </w:rPr>
        <w:t>2. Tarea de Barrera Óptica Infrarroja (38 kHz): Supervisa continuamente la interrupción del haz infrarrojo en la boca de caída, empleando una interrupción por flanco de bajada (GPIO ISR) con filtro anti-rebote digital para confirmar la entrega del producto en menos de 5 ms.</w:t>
      </w:r>
    </w:p>
    <w:p>
      <w:pPr>
        <w:keepNext/>
        <w:spacing w:line="276" w:lineRule="auto" w:before="0" w:after="60"/>
        <w:jc w:val="both"/>
      </w:pPr>
      <w:r>
        <w:rPr>
          <w:rFonts w:ascii="Calibri" w:hAnsi="Calibri"/>
          <w:color w:val="1F2937"/>
          <w:sz w:val="20"/>
        </w:rPr>
        <w:t>3. Tarea de Temporización de Frescura NOM-251: Gestiona el contador estricto de 14 horas de caducidad para platillos de comida fresca apoyado en un reloj de tiempo real DS3231 con oscilador compensado por temperatura (TCXO) y batería de respaldo CR2032.</w:t>
      </w:r>
    </w:p>
    <w:p>
      <w:pPr>
        <w:spacing w:line="276" w:lineRule="auto" w:before="0" w:after="60"/>
        <w:jc w:val="both"/>
      </w:pPr>
      <w:r>
        <w:rPr>
          <w:rFonts w:ascii="Calibri" w:hAnsi="Calibri"/>
          <w:color w:val="1F2937"/>
          <w:sz w:val="20"/>
        </w:rPr>
        <w:t>• Núcleo 1 (Core 1 - Comunicaciones, Telemetría IoT y Pasarela Cashless):</w:t>
      </w:r>
    </w:p>
    <w:p>
      <w:pPr>
        <w:keepNext/>
        <w:spacing w:line="276" w:lineRule="auto" w:before="0" w:after="60"/>
        <w:jc w:val="both"/>
      </w:pPr>
      <w:r>
        <w:rPr>
          <w:rFonts w:ascii="Calibri" w:hAnsi="Calibri"/>
          <w:color w:val="1F2937"/>
          <w:sz w:val="20"/>
        </w:rPr>
        <w:t>1. Tarea de Enlace WebSocket Bidireccional: Mantiene una conexión persistente cifrada (WSS) con el servidor Node.js/FastAPI, recibiendo órdenes de despacho y reportando el estado del inventario en tiempo real con latencias inferiores a 50 ms.</w:t>
      </w:r>
    </w:p>
    <w:p>
      <w:pPr>
        <w:keepNext/>
        <w:spacing w:line="276" w:lineRule="auto" w:before="0" w:after="60"/>
        <w:jc w:val="both"/>
      </w:pPr>
      <w:r>
        <w:rPr>
          <w:rFonts w:ascii="Calibri" w:hAnsi="Calibri"/>
          <w:color w:val="1F2937"/>
          <w:sz w:val="20"/>
        </w:rPr>
        <w:t>2. Tarea de Telemetría Térmica OneWire: Lee cada 2.0 segundos la red de sensores digitales Dallas DS18B20 distribuidos en la vitrina y en la sala de máquinas, transmitiendo curvas térmicas al panel del administrador y vigilando el umbral de 4.0 °C.</w:t>
      </w:r>
    </w:p>
    <w:p>
      <w:pPr>
        <w:keepNext/>
        <w:spacing w:line="276" w:lineRule="auto" w:before="0" w:after="80"/>
        <w:jc w:val="both"/>
      </w:pPr>
      <w:r>
        <w:rPr>
          <w:rFonts w:ascii="Calibri" w:hAnsi="Calibri"/>
          <w:color w:val="1F2937"/>
          <w:sz w:val="20"/>
        </w:rPr>
        <w:t>3. Tarea de Manejo de Pasarela de Pago: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pPr>
      <w:r>
        <w:rPr>
          <w:rFonts w:ascii="Calibri" w:hAnsi="Calibri"/>
          <w:b/>
          <w:color w:val="B45309"/>
          <w:sz w:val="21"/>
        </w:rPr>
        <w:t>7.6.1 Tareas Multihilo en FreeRTOS, Sincronización por Semáforos y Monitoreo de Caducidad (14h)</w:t>
      </w:r>
    </w:p>
    <w:p>
      <w:pPr>
        <w:spacing w:line="276" w:lineRule="auto" w:before="0" w:after="60"/>
        <w:jc w:val="both"/>
      </w:pPr>
      <w:r>
        <w:rPr>
          <w:rFonts w:ascii="Calibri" w:hAnsi="Calibri"/>
          <w:b/>
          <w:color w:val="1F2937"/>
          <w:sz w:val="20"/>
        </w:rPr>
        <w:t xml:space="preserve">Distribución Asimétrica Dual-Core en FreeRTOS: </w:t>
      </w:r>
      <w:r>
        <w:rPr>
          <w:rFonts w:ascii="Calibri" w:hAnsi="Calibri"/>
          <w:color w:val="1F2937"/>
          <w:sz w:val="20"/>
        </w:rPr>
        <w:t>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jc w:val="both"/>
      </w:pPr>
      <w:r>
        <w:rPr>
          <w:rFonts w:ascii="Calibri" w:hAnsi="Calibri"/>
          <w:color w:val="1F2937"/>
          <w:sz w:val="20"/>
        </w:rPr>
        <w:t>• Núcleo 0 (PRO_CPU - Procesador de Protocolos):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80"/>
        <w:jc w:val="both"/>
      </w:pPr>
      <w:r>
        <w:rPr>
          <w:rFonts w:ascii="Calibri" w:hAnsi="Calibri"/>
          <w:color w:val="1F2937"/>
          <w:sz w:val="20"/>
        </w:rPr>
        <w:t>• Núcleo 1 (APP_CPU - Procesador de Aplicación Mecatrónica):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Operativa Determinista</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Captura evento de haz IR interrumpido por producto en tolva.</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matricial 6x6, rampa PWM, lectura leva homing 360°.</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Muestreo sondas NTC, filtrado promediador y relé de compresor.</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Recepción y validación de órdenes de despacho desde backend web.</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Publicación MQTT de temperaturas, stock de ranuras y estado de red.</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14h de caducidad; deshabilita ranuras vencidas.</w:t>
            </w:r>
          </w:p>
        </w:tc>
      </w:tr>
    </w:tbl>
    <w:p>
      <w:pPr>
        <w:spacing w:line="276" w:lineRule="auto" w:before="0" w:after="60"/>
        <w:jc w:val="both"/>
      </w:pPr>
      <w:r>
        <w:rPr>
          <w:rFonts w:ascii="Calibri" w:hAnsi="Calibri"/>
          <w:b/>
          <w:color w:val="1F2937"/>
          <w:sz w:val="20"/>
        </w:rPr>
        <w:t xml:space="preserve">Protocolo de Inocuidad y Gestión de Memoria en FreeRTOS: </w:t>
      </w:r>
      <w:r>
        <w:rPr>
          <w:rFonts w:ascii="Calibri" w:hAnsi="Calibri"/>
          <w:color w:val="1F2937"/>
          <w:sz w:val="20"/>
        </w:rPr>
        <w:t>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80"/>
        <w:jc w:val="both"/>
      </w:pPr>
      <w:r>
        <w:rPr>
          <w:rFonts w:ascii="Calibri" w:hAnsi="Calibri"/>
          <w:color w:val="1F2937"/>
          <w:sz w:val="20"/>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pPr>
      <w:r>
        <w:rPr>
          <w:rFonts w:ascii="Calibri" w:hAnsi="Calibri"/>
          <w:b/>
          <w:color w:val="1E40AF"/>
          <w:sz w:val="24"/>
        </w:rPr>
        <w:t>7.7 Ecosistema Web Full-Stack, Motor de Temas Accesibles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El componente de software de XpendeX comprende una suite web completa desacoplada en tres capas complementarias:</w:t>
      </w:r>
    </w:p>
    <w:p>
      <w:pPr>
        <w:keepNext/>
        <w:spacing w:line="276" w:lineRule="auto" w:before="0" w:after="60"/>
        <w:jc w:val="both"/>
      </w:pPr>
      <w:r>
        <w:rPr>
          <w:rFonts w:ascii="Calibri" w:hAnsi="Calibri"/>
          <w:color w:val="1F2937"/>
          <w:sz w:val="20"/>
        </w:rPr>
        <w:t>1. Quiosco Interactivo para Comensales (`página web`):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keepNext/>
        <w:spacing w:line="276" w:lineRule="auto" w:before="0" w:after="60"/>
        <w:jc w:val="both"/>
      </w:pPr>
      <w:r>
        <w:rPr>
          <w:rFonts w:ascii="Calibri" w:hAnsi="Calibri"/>
          <w:color w:val="1F2937"/>
          <w:sz w:val="20"/>
        </w:rPr>
        <w:t>2. Motor Dinámico de Temas y Accesibilidad Visual: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keepNext/>
        <w:spacing w:line="276" w:lineRule="auto" w:before="0" w:after="60"/>
        <w:jc w:val="both"/>
      </w:pPr>
      <w:r>
        <w:rPr>
          <w:rFonts w:ascii="Calibri" w:hAnsi="Calibri"/>
          <w:color w:val="1F2937"/>
          <w:sz w:val="20"/>
        </w:rPr>
        <w:t>3. Portal Administrativo del Dueño (`user interface`):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keepNext/>
        <w:spacing w:line="276" w:lineRule="auto" w:before="0" w:after="80"/>
        <w:jc w:val="both"/>
      </w:pPr>
      <w:r>
        <w:rPr>
          <w:rFonts w:ascii="Calibri" w:hAnsi="Calibri"/>
          <w:color w:val="1F2937"/>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BALANCE ELÉCTRICO DE POTENCIA Y FACTOR DE CARGA DE LA FUENTE INDUSTRIAL</w:t>
              <w:br/>
            </w:r>
            <w:r>
              <w:rPr>
                <w:rFonts w:ascii="Calibri" w:hAnsi="Calibri"/>
                <w:i/>
                <w:color w:val="1F2937"/>
                <w:sz w:val="19"/>
              </w:rPr>
              <w:t>Deducción analítica paso a paso del dimensionamiento eléctrico, picos inductivos y confiabilidad de la fuente Mean Well LRS-350-24:</w:t>
              <w:br/>
            </w:r>
          </w:p>
          <w:p>
            <w:pPr>
              <w:keepLines/>
              <w:spacing w:before="40" w:after="40" w:line="276" w:lineRule="auto"/>
            </w:pPr>
            <w:r>
              <w:rPr>
                <w:rFonts w:ascii="Calibri" w:hAnsi="Calibri"/>
                <w:b/>
                <w:color w:val="1E40AF"/>
                <w:sz w:val="19"/>
              </w:rPr>
              <w:t>▶ Paso 1: Demanda Eléctrica Transitoria de los Motorreductores 24V DC</w:t>
            </w:r>
          </w:p>
          <w:p>
            <w:pPr>
              <w:keepLines/>
              <w:spacing w:before="0" w:after="60" w:line="276" w:lineRule="auto"/>
              <w:jc w:val="both"/>
            </w:pPr>
            <w:r>
              <w:rPr>
                <w:rFonts w:ascii="Calibri" w:hAnsi="Calibri"/>
                <w:color w:val="1F2937"/>
                <w:sz w:val="18"/>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keepLines/>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keepLines/>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línea de potencia de 24V DC suministra instantáneamente 72 W de potencia motriz sin caídas de tensión.</w:t>
            </w:r>
          </w:p>
          <w:p>
            <w:pPr>
              <w:keepLines/>
              <w:spacing w:before="120" w:after="40" w:line="276" w:lineRule="auto"/>
            </w:pPr>
            <w:r>
              <w:rPr>
                <w:rFonts w:ascii="Calibri" w:hAnsi="Calibri"/>
                <w:b/>
                <w:color w:val="1E40AF"/>
                <w:sz w:val="19"/>
              </w:rPr>
              <w:t>▶ Paso 2: Consumo del Módulo de Control, Módem Celular 4G y Sensores</w:t>
            </w:r>
          </w:p>
          <w:p>
            <w:pPr>
              <w:keepLines/>
              <w:spacing w:before="0" w:after="60" w:line="276" w:lineRule="auto"/>
              <w:jc w:val="both"/>
            </w:pPr>
            <w:r>
              <w:rPr>
                <w:rFonts w:ascii="Calibri" w:hAnsi="Calibri"/>
                <w:color w:val="1F2937"/>
                <w:sz w:val="18"/>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keepLines/>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keepLines/>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cerebro electrónico demanda 15 W continuos para sostener las comunicaciones y la telemetría transaccional.</w:t>
            </w:r>
          </w:p>
          <w:p>
            <w:pPr>
              <w:keepLines/>
              <w:spacing w:before="120" w:after="40" w:line="276" w:lineRule="auto"/>
            </w:pPr>
            <w:r>
              <w:rPr>
                <w:rFonts w:ascii="Calibri" w:hAnsi="Calibri"/>
                <w:b/>
                <w:color w:val="1E40AF"/>
                <w:sz w:val="19"/>
              </w:rPr>
              <w:t>▶ Paso 3: Consumo de la Iluminación Interior LED de Exhibición</w:t>
            </w:r>
          </w:p>
          <w:p>
            <w:pPr>
              <w:keepLines/>
              <w:spacing w:before="0" w:after="60" w:line="276" w:lineRule="auto"/>
              <w:jc w:val="both"/>
            </w:pPr>
            <w:r>
              <w:rPr>
                <w:rFonts w:ascii="Calibri" w:hAnsi="Calibri"/>
                <w:color w:val="1F2937"/>
                <w:sz w:val="18"/>
              </w:rPr>
              <w:t>Fundamento Teórico: Dos perfiles LED rígidos de 12V DC en perfiles difusores iluminan la vitrina panorámica de 810 mm a una corriente estabilizada de 1.6 A:</w:t>
            </w:r>
          </w:p>
          <w:p>
            <w:pPr>
              <w:jc w:val="center"/>
              <w:keepLines/>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iluminación consume 24 W de potencia continua regulada, proporcionando alta visibilidad frontal.</w:t>
            </w:r>
          </w:p>
          <w:p>
            <w:pPr>
              <w:keepLines/>
              <w:spacing w:before="120" w:after="40" w:line="276" w:lineRule="auto"/>
            </w:pPr>
            <w:r>
              <w:rPr>
                <w:rFonts w:ascii="Calibri" w:hAnsi="Calibri"/>
                <w:b/>
                <w:color w:val="1E40AF"/>
                <w:sz w:val="19"/>
              </w:rPr>
              <w:t>▶ Paso 4: Potencia Eléctrica Pico Simultánea Combinada</w:t>
            </w:r>
          </w:p>
          <w:p>
            <w:pPr>
              <w:keepLines/>
              <w:spacing w:before="0" w:after="60" w:line="276" w:lineRule="auto"/>
              <w:jc w:val="both"/>
            </w:pPr>
            <w:r>
              <w:rPr>
                <w:rFonts w:ascii="Calibri" w:hAnsi="Calibri"/>
                <w:color w:val="1F2937"/>
                <w:sz w:val="18"/>
              </w:rPr>
              <w:t>Fundamento Teórico: Principio de superposición de cargas en corriente directa. La demanda máxima simultánea ocurre al coincidir el arranque de motorreductores, la transmisión 4G y la iluminación:</w:t>
            </w:r>
          </w:p>
          <w:p>
            <w:pPr>
              <w:jc w:val="center"/>
              <w:keepLines/>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keepLines/>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sistema de control y actuadores demanda un pico máximo combinado de 111 W de potencia eléctrica.</w:t>
            </w:r>
          </w:p>
          <w:p>
            <w:pPr>
              <w:keepLines/>
              <w:spacing w:before="120" w:after="40" w:line="276" w:lineRule="auto"/>
            </w:pPr>
            <w:r>
              <w:rPr>
                <w:rFonts w:ascii="Calibri" w:hAnsi="Calibri"/>
                <w:b/>
                <w:color w:val="1E40AF"/>
                <w:sz w:val="19"/>
              </w:rPr>
              <w:t>▶ Paso 5: Capacidad Nominal de la Fuente Industrial Mean Well LRS-350-24</w:t>
            </w:r>
          </w:p>
          <w:p>
            <w:pPr>
              <w:keepLines/>
              <w:spacing w:before="0" w:after="60" w:line="276" w:lineRule="auto"/>
              <w:jc w:val="both"/>
            </w:pPr>
            <w:r>
              <w:rPr>
                <w:rFonts w:ascii="Calibri" w:hAnsi="Calibri"/>
                <w:color w:val="1F2937"/>
                <w:sz w:val="18"/>
              </w:rPr>
              <w:t>Fundamento Teórico: Especificaciones nominales de diseño del fabricante Mean Well. La fuente industrial entrega 24V DC con 14.6 A continuos:</w:t>
            </w:r>
          </w:p>
          <w:p>
            <w:pPr>
              <w:jc w:val="center"/>
              <w:keepLines/>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conmutada seleccionada posee una capacidad continua garantizada de 350.4 W.</w:t>
            </w:r>
          </w:p>
          <w:p>
            <w:pPr>
              <w:keepLines/>
              <w:spacing w:before="120" w:after="40" w:line="276" w:lineRule="auto"/>
            </w:pPr>
            <w:r>
              <w:rPr>
                <w:rFonts w:ascii="Calibri" w:hAnsi="Calibri"/>
                <w:b/>
                <w:color w:val="1E40AF"/>
                <w:sz w:val="19"/>
              </w:rPr>
              <w:t>▶ Paso 6: Factor de Carga Operativo y Margen de Confiabilidad Térmica</w:t>
            </w:r>
          </w:p>
          <w:p>
            <w:pPr>
              <w:keepLines/>
              <w:spacing w:before="0" w:after="60" w:line="276" w:lineRule="auto"/>
              <w:jc w:val="both"/>
            </w:pPr>
            <w:r>
              <w:rPr>
                <w:rFonts w:ascii="Calibri" w:hAnsi="Calibri"/>
                <w:color w:val="1F2937"/>
                <w:sz w:val="18"/>
              </w:rPr>
              <w:t>Fundamento Teórico: Criterio de desclasificación térmica (Derating) según la norma industrial IPC-9592B para fuentes conmutadas:</w:t>
            </w:r>
          </w:p>
          <w:p>
            <w:pPr>
              <w:jc w:val="center"/>
              <w:keepLines/>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Operando a tan solo el 31.68% de su capacidad nominal, la fuente trabaja en un régimen térmico holgado, garantizando una vida útil superior a 100,000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tc>
      </w:tr>
    </w:tbl>
    <w:p>
      <w:pPr>
        <w:spacing w:before="0" w:after="80"/>
      </w:pPr>
    </w:p>
    <w:p>
      <w:pPr>
        <w:keepNext/>
        <w:spacing w:before="260" w:after="80"/>
        <w:pBdr>
          <w:bottom w:val="single" w:sz="6" w:space="2" w:color="1E40AF"/>
        </w:pBdr>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Máquina de Estados de Dispensación con Bloqueo Preventivo de Caducidad Diaria</w:t>
              <w:br/>
            </w:r>
            <w:r>
              <w:rPr>
                <w:rFonts w:ascii="Calibri" w:hAnsi="Calibri"/>
                <w:i/>
                <w:color w:val="1F2937"/>
                <w:sz w:val="19"/>
              </w:rPr>
              <w:t>Máquina de Estados Finitos (FSM) con Protocolo de Caducidad Diaria y Despacho Seguro:</w:t>
              <w:br/>
              <w:t>1. REABASTECIMIENTO MATUTINO Y RESET DE RELOJ: A las 6:30 AM, el personal de la lonchería recarga charolas y escanea un tag NFC maestro en la máquina. El firmware ESP32 resetea el temporizador de frescura t_restock a cero para cada canal de comida rellenado.</w:t>
              <w:br/>
              <w:t>2. SUPERVISIÓN DE CADUCIDAD DIARIA (14 HORAS):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br/>
              <w:t>3. ESTADO IDLE Y SELECCIÓN: Máquina en espera. La pantalla exhibe el menú del día con guisados y bebidas, y códigos QR dinámicos.</w:t>
              <w:br/>
              <w:t>4. VALIDACIÓN DE PAGO CASHLESS: El comensal paga mediante chip EMV/NFC en terminal o vía QR Mercado Pago [3], [14].</w:t>
              <w:br/>
              <w:t>5. DISPENSACIÓN MATRICIAL DUAL: Confirmada la compra, el ESP32 conmuta los relés correspondientes; para comida fresca acciona el par de espirales dobles sincronizadas empujando suavemente el platillo rectangular.</w:t>
              <w:br/>
              <w:t>6. CONFIRMACIÓN ÓPTICA IR: El platillo cae amortiguadamente a la tolva cortando la barrera infrarroja de 38 kHz. El ESP32 emite 'DISPENSED_OK'.</w:t>
              <w:br/>
              <w:t>7. MANEJO DE ATASCO Y REEMBOLSO INSTANTÁNEO: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Beneficio Cuantitativo / Valor Agregado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Importe Total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spacing w:before="20" w:after="30" w:line="200" w:lineRule="exact"/>
              <w:jc w:val="left"/>
            </w:pPr>
            <w:r>
              <w:rPr>
                <w:rFonts w:ascii="Calibri" w:hAnsi="Calibri"/>
                <w:color w:val="1F2937"/>
                <w:sz w:val="17"/>
              </w:rPr>
              <w:t>Perfil PTR 1 1/2" × 1 1/2" Cal. 14 (Tramos 6.00 m, Aceroplaza)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$2,340.00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Perfil PTR 1" × 1" Cal. 14 (Tramos 6.00 m, Aceroplaza)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Tubo Rectangular 22 × 20 mm Cal. 16 (Tramos 6.00 m)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Perfil Canal C Estructural 100 mm Cal. 14 (Tramo bancada)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Lámina Cold Rolled Calibre 18 (Hoja 4' × 8', Aceroplaza MTY) [6]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$3,120.12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Lámina Galvanizada Calibre 18 (Hoja 4' × 8' para charolas) [6]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$2,740.00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Placa de Acero Calibre 14 (Corte 800 × 600 mm para bandeja máquinas)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Pintura electrostática en polvo horneada (powder coating industrial)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Compresor Hermético Embraco EMIS70HHR 1/3 HP R134a 115V [5]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Unidad Condensadora con radiador de 5 horquillas U-bend cobre/aluminio [25]</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Motoventilador condensador 10W polo sombreado c/tobera 210 mm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Evaporador de tiro forzado con ventilador tangencial de vitrina [24]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Termostato digital programable STC-1000 con sonda NTC de acero inox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Filtro deshidratador de cobre 1/4" + Válvula de carga con gusanillo [25]</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Tubería de cobre tipo L (3/8" y 1/4"), varilla plata 5% y Armaflex [25]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Carga neta gas ecológico R134a (bote 340 g / balanza) [24]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Aislamiento interior poliuretano rígido expandido 40 mm densidad 35 kg/m³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Silentblocks amortiguadores de neopreno antivibración Shore A 55 M8 [24]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Motorreductores 24V DC (25 RPM, torque 18 kgf-cm, eje D, microswitch leva)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Resortes helicoidales cromados alambre trefilado Ø 70 mm (7 vueltas)</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Coples de aluminio torneado CNC con prisioneros para eje D</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Filamento Creality PETG industrial (bobinas 1 kg) para soportes 3D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Fuente Conmutada Industrial Mean Well LRS-350-24 (24V DC / 14.6A) [9] [28]</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Placa controladora microcontrolador ESP32 + módem celular 4G LTE [10]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Tarjeta SIM de datos IoT Telcel/Bait (Paquete anual de datos M2M) [29]</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Tarjeta controladora matriz de relés optoaislados de 16 canales 24V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Expansor I2C MCP23017 en PCB personalizada con borneras [11]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Diodos de libre circulación (flyback) 1N4007 (protección inductiva)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Barrera óptica infrarroja modulada a 38 kHz (sensor óptico de caída)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Convertidores reductores DC-DC Buck LM2596 (24V a 5V/3.3V)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Cableado automotriz Cal. 18 y 22 AWG, conectores JST y termocontráctil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Panel acrílico frontal grabado láser c/iluminación LED para códigos QR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Iluminación interior perimetral LED blanco frío 6000K de 12V con perfil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Vidrio templado doble de seguridad incoloro 4+4 mm (790 × 1,210 mm)</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Cerradura tubular de alta seguridad CompX Chicago Ace con manija T [12]</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Bisagras industriales pesadas de libro en acero inox 4 mm con grasera Zerk</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Bisagras superiores articuladas por gravedad para compuerta basculante</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Ruedas industriales giratorias 4" poliuretano con freno Total-Lock (150 kg)</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Tornillería grado industrial: Allen M6, Phillips M4, tuercas Nyloc y remaches</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Empaque tubular perimetral de estanqueidad de caucho EPDM para puerta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Pantalla t?ctil capacitiva IPS 10.1" (1280x800) Waveshare HDMI con carcasa de montaje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Mini PC embebida Intel N100 (8GB RAM / 128GB SSD) para MediaMTX y Three.js [31]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Mástil curvo de techo tubo 2" Cédula 30 con brida y placa VESA 100/200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Cámara web USB gran angular Full HD (telemetría de tolva interna) [31]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Cámara exterior domo 360° RTSP para videovigilancia institucional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Cableado HDMI blindado, fuente de poder para Mini PC y accesorios [31]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r>
      <w:tr>
        <w:trPr>
          <w:cantSplit/>
        </w:trPr>
        <w:tc>
          <w:tcPr>
            <w:tcW w:type="dxa" w:w="2160"/>
            <w:shd w:fill="0F2C59"/>
          </w:tcPr>
          <w:p>
            <w:pPr>
              <w:keepLines/>
            </w:pPr>
          </w:p>
        </w:tc>
        <w:tc>
          <w:tcPr>
            <w:tcW w:type="dxa" w:w="3600"/>
            <w:shd w:fill="0F2C59"/>
          </w:tcPr>
          <w:p>
            <w:pPr>
              <w:keepLines/>
              <w:jc w:val="right"/>
            </w:pPr>
            <w:r>
              <w:rPr>
                <w:b/>
                <w:color w:val="FFFFFF"/>
                <w:sz w:val="17"/>
              </w:rPr>
              <w:t>TOTAL COSTO DIRECTO POR MÁQUINA (COMPLETA CON MULTIMEDIA):</w:t>
            </w:r>
          </w:p>
        </w:tc>
        <w:tc>
          <w:tcPr>
            <w:tcW w:type="dxa" w:w="1296"/>
            <w:shd w:fill="0F2C59"/>
          </w:tcPr>
          <w:p>
            <w:pPr>
              <w:keepLines/>
            </w:pPr>
          </w:p>
        </w:tc>
        <w:tc>
          <w:tcPr>
            <w:tcW w:type="dxa" w:w="1440"/>
            <w:shd w:fill="0F2C59"/>
          </w:tcPr>
          <w:p>
            <w:pPr>
              <w:keepLines/>
            </w:pPr>
          </w:p>
        </w:tc>
        <w:tc>
          <w:tcPr>
            <w:tcW w:type="dxa" w:w="1584"/>
            <w:shd w:fill="0F2C59"/>
          </w:tcPr>
          <w:p>
            <w:pPr>
              <w:keepLines/>
              <w:jc w:val="right"/>
            </w:pPr>
            <w:r>
              <w:rPr>
                <w:b/>
                <w:color w:val="FFFFFF"/>
                <w:sz w:val="19"/>
              </w:rPr>
              <w:t>$46,463.12 MXN</w:t>
            </w:r>
          </w:p>
        </w:tc>
      </w:tr>
    </w:tbl>
    <w:p>
      <w:pPr>
        <w:spacing w:after="80"/>
      </w:pPr>
    </w:p>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Inversión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spacing w:before="20" w:after="30" w:line="200" w:lineRule="exact"/>
              <w:jc w:val="left"/>
            </w:pPr>
            <w:r>
              <w:rPr>
                <w:rFonts w:ascii="Calibri" w:hAnsi="Calibri"/>
                <w:color w:val="1F2937"/>
                <w:sz w:val="17"/>
              </w:rPr>
              <w:t>Cortadora de Plasma Inverter 50A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$4,690.00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Compresor de Aire Monofásico 50 L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Kit de Consumibles de Antorcha Plasma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Máquina Soldadora Inverter MIG/GMAW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Cilindro de Gas Mezcla Argón/CO2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Carrete de Microalambre ER70S-6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Sierra Tronzadora Abrasiva de 14"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Caja de Discos Abrasivos 14" para Acero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Dobladora Manual de Lámina de 36"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Esmeriladora Angular de 4 1/2"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Consumibles de Esmerilado y Pulido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Taladro de Banco de Columna 1/2"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Juego de Brocas Cobalto M35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Remachadora de Tuercas Roscadas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Impresora 3D de Alta Velocidad [27]</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$4,190.00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Estación de Soldadura y Retrabajo 2 en 1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Multímetro Digital True RMS Industrial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Bomba de Vacío de 2 Etapas 3 CFM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Soplete Portátil MAPP y Varillas Plata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Juego de Herramientas de Banco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9"/>
              </w:rPr>
              <w:t>$34,310.00 MXN</w:t>
            </w:r>
          </w:p>
        </w:tc>
      </w:tr>
    </w:tbl>
    <w:p>
      <w:pPr>
        <w:spacing w:after="80"/>
      </w:pPr>
    </w:p>
    <w:p>
      <w:pPr>
        <w:keepNext/>
        <w:spacing w:before="260" w:after="80"/>
        <w:pBdr>
          <w:bottom w:val="single" w:sz="6" w:space="2" w:color="1E40AF"/>
        </w:pBdr>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DE AMORTIZACIÓN DE TALLER Y UTILIDAD EN REPLICACIÓN (ROI)</w:t>
              <w:br/>
            </w:r>
            <w:r>
              <w:rPr>
                <w:rFonts w:ascii="Calibri" w:hAnsi="Calibri"/>
                <w:i/>
                <w:color w:val="1F2937"/>
                <w:sz w:val="19"/>
              </w:rPr>
              <w:t>Deducción analítica paso a paso del modelo financiero de costos, flujo de caja, amortización de taller y retorno de inversión:</w:t>
              <w:br/>
            </w:r>
          </w:p>
          <w:p>
            <w:pPr>
              <w:keepLines/>
              <w:spacing w:before="40" w:after="40" w:line="276" w:lineRule="auto"/>
            </w:pPr>
            <w:r>
              <w:rPr>
                <w:rFonts w:ascii="Calibri" w:hAnsi="Calibri"/>
                <w:b/>
                <w:color w:val="1E40AF"/>
                <w:sz w:val="19"/>
              </w:rPr>
              <w:t>▶ Paso 1: Presupuesto Consolidado de Inversión Inicial (Máquina Prototipo + Taller Mecánico)</w:t>
            </w:r>
          </w:p>
          <w:p>
            <w:pPr>
              <w:keepLines/>
              <w:spacing w:before="0" w:after="60" w:line="276" w:lineRule="auto"/>
              <w:jc w:val="both"/>
            </w:pPr>
            <w:r>
              <w:rPr>
                <w:rFonts w:ascii="Calibri" w:hAnsi="Calibri"/>
                <w:color w:val="1F2937"/>
                <w:sz w:val="18"/>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keepLines/>
              <w:spacing w:before="60" w:after="60"/>
            </w:pPr>
            <m:oMathPara>
              <m:oMath>
                <m:sSub>
                  <m:e>
                    <m:r>
                      <m:t>I</m:t>
                    </m:r>
                  </m:e>
                  <m:sub>
                    <m:r>
                      <m:rPr>
                        <m:nor/>
                      </m:rPr>
                      <m:t>total</m:t>
                    </m:r>
                  </m:sub>
                </m:sSub>
                <m:r>
                  <m:t>=46,463.12+51,490.00=97,953.12</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inicial consolidada asciende a 97,953.12 MXN para el equipamiento completo de taller y el prototipo funcional.</w:t>
            </w:r>
          </w:p>
          <w:p>
            <w:pPr>
              <w:keepLines/>
              <w:spacing w:before="120" w:after="40" w:line="276" w:lineRule="auto"/>
            </w:pPr>
            <w:r>
              <w:rPr>
                <w:rFonts w:ascii="Calibri" w:hAnsi="Calibri"/>
                <w:b/>
                <w:color w:val="1E40AF"/>
                <w:sz w:val="19"/>
              </w:rPr>
              <w:t>▶ Paso 2: Fijación del Precio Comercial B2B por Estrategia de Valor Competitivo</w:t>
            </w:r>
          </w:p>
          <w:p>
            <w:pPr>
              <w:keepLines/>
              <w:spacing w:before="0" w:after="60" w:line="276" w:lineRule="auto"/>
              <w:jc w:val="both"/>
            </w:pPr>
            <w:r>
              <w:rPr>
                <w:rFonts w:ascii="Calibri" w:hAnsi="Calibri"/>
                <w:color w:val="1F2937"/>
                <w:sz w:val="18"/>
              </w:rPr>
              <w:t>Fundamento Teórico: Fijación de precios por diferenciación competitiva frente a máquinas comerciales importadas (140,000 a 220,000 MXN). Al establecer un precio comercial B2B de 95,000.00 MXN, el cliente ahorra más del 32% del capital:</w:t>
            </w:r>
          </w:p>
          <w:p>
            <w:pPr>
              <w:jc w:val="center"/>
              <w:keepLines/>
              <w:spacing w:before="60" w:after="60"/>
            </w:pPr>
            <m:oMathPara>
              <m:oMath>
                <m:sSub>
                  <m:e>
                    <m:r>
                      <m:t>P</m:t>
                    </m:r>
                  </m:e>
                  <m:sub>
                    <m:r>
                      <m:rPr>
                        <m:nor/>
                      </m:rPr>
                      <m:t>venta</m:t>
                    </m:r>
                  </m:sub>
                </m:sSub>
                <m:r>
                  <m:t>=95,000.00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precio B2B de 95,000 MXN garantiza una alta demanda comercial permitiendo al comprador recuperar su inversión en tiempo récord.</w:t>
            </w:r>
          </w:p>
          <w:p>
            <w:pPr>
              <w:keepLines/>
              <w:spacing w:before="120" w:after="40" w:line="276" w:lineRule="auto"/>
            </w:pPr>
            <w:r>
              <w:rPr>
                <w:rFonts w:ascii="Calibri" w:hAnsi="Calibri"/>
                <w:b/>
                <w:color w:val="1E40AF"/>
                <w:sz w:val="19"/>
              </w:rPr>
              <w:t>▶ Paso 3: Mecanismo de Autofinanciamiento Mediante Cobro de Anticipo del 60%</w:t>
            </w:r>
          </w:p>
          <w:p>
            <w:pPr>
              <w:keepLines/>
              <w:spacing w:before="0" w:after="60" w:line="276" w:lineRule="auto"/>
              <w:jc w:val="both"/>
            </w:pPr>
            <w:r>
              <w:rPr>
                <w:rFonts w:ascii="Calibri" w:hAnsi="Calibri"/>
                <w:color w:val="1F2937"/>
                <w:sz w:val="18"/>
              </w:rPr>
              <w:t>Fundamento Teórico: Modelo de manufactura bajo pedido (Made-to-Order) con capital de trabajo provisto por el cliente mediante anticipo formal del 60%:</w:t>
            </w:r>
          </w:p>
          <w:p>
            <w:pPr>
              <w:jc w:val="center"/>
              <w:keepLines/>
              <w:spacing w:before="60" w:after="60"/>
            </w:pPr>
            <m:oMathPara>
              <m:oMath>
                <m:r>
                  <m:rPr>
                    <m:nor/>
                  </m:rPr>
                  <m:t>Anticipo</m:t>
                </m:r>
                <m:r>
                  <m:t>=0.60·</m:t>
                </m:r>
                <m:sSub>
                  <m:e>
                    <m:r>
                      <m:t>P</m:t>
                    </m:r>
                  </m:e>
                  <m:sub>
                    <m:r>
                      <m:rPr>
                        <m:nor/>
                      </m:rPr>
                      <m:t>venta</m:t>
                    </m:r>
                  </m:sub>
                </m:sSub>
                <m:r>
                  <m:t>=0.60·(95,000.00)=57,000.00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cliente entrega 57,000 MXN a la firma del pedido antes de ordenar materiales a taller.</w:t>
            </w:r>
          </w:p>
          <w:p>
            <w:pPr>
              <w:keepLines/>
              <w:spacing w:before="120" w:after="40" w:line="276" w:lineRule="auto"/>
            </w:pPr>
            <w:r>
              <w:rPr>
                <w:rFonts w:ascii="Calibri" w:hAnsi="Calibri"/>
                <w:b/>
                <w:color w:val="1E40AF"/>
                <w:sz w:val="19"/>
              </w:rPr>
              <w:t>▶ Paso 4: Comprobación de Superávit en Flujo de Caja para Insumos Físicos</w:t>
            </w:r>
          </w:p>
          <w:p>
            <w:pPr>
              <w:keepLines/>
              <w:spacing w:before="0" w:after="60" w:line="276" w:lineRule="auto"/>
              <w:jc w:val="both"/>
            </w:pPr>
            <w:r>
              <w:rPr>
                <w:rFonts w:ascii="Calibri" w:hAnsi="Calibri"/>
                <w:color w:val="1F2937"/>
                <w:sz w:val="18"/>
              </w:rPr>
              <w:t>Fundamento Teórico: Análisis de liquidez operativa de taller mecánico. Restando el costo de materiales ($46,463.12 MXN) al anticipo cobrado ($57,000.00 MXN):</w:t>
            </w:r>
          </w:p>
          <w:p>
            <w:pPr>
              <w:jc w:val="center"/>
              <w:keepLines/>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cubre el 100% de los insumos físicos y deja un saldo positivo inmediato de 10,536.88 MXN, logrando autofinanciamiento total.</w:t>
            </w:r>
          </w:p>
          <w:p>
            <w:pPr>
              <w:keepLines/>
              <w:spacing w:before="120" w:after="40" w:line="276" w:lineRule="auto"/>
            </w:pPr>
            <w:r>
              <w:rPr>
                <w:rFonts w:ascii="Calibri" w:hAnsi="Calibri"/>
                <w:b/>
                <w:color w:val="1E40AF"/>
                <w:sz w:val="19"/>
              </w:rPr>
              <w:t>▶ Paso 5: Cálculo del Margen Bruto de Contribución por Máquina Replicada</w:t>
            </w:r>
          </w:p>
          <w:p>
            <w:pPr>
              <w:keepLines/>
              <w:spacing w:before="0" w:after="60" w:line="276" w:lineRule="auto"/>
              <w:jc w:val="both"/>
            </w:pPr>
            <w:r>
              <w:rPr>
                <w:rFonts w:ascii="Calibri" w:hAnsi="Calibri"/>
                <w:color w:val="1F2937"/>
                <w:sz w:val="18"/>
              </w:rPr>
              <w:t>Fundamento Teórico: A partir de la segunda máquina construida, con el taller mecánico ya equipado, cada unidad vendida genera un margen bruto directo:</w:t>
            </w:r>
          </w:p>
          <w:p>
            <w:pPr>
              <w:jc w:val="center"/>
              <w:keepLines/>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keepLines/>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máquina construida genera una utilidad bruta de 48,536.88 MXN, con un margen de ganancia del 51.09% sobre ventas.</w:t>
            </w:r>
          </w:p>
          <w:p>
            <w:pPr>
              <w:keepLines/>
              <w:spacing w:before="120" w:after="40" w:line="276" w:lineRule="auto"/>
            </w:pPr>
            <w:r>
              <w:rPr>
                <w:rFonts w:ascii="Calibri" w:hAnsi="Calibri"/>
                <w:b/>
                <w:color w:val="1E40AF"/>
                <w:sz w:val="19"/>
              </w:rPr>
              <w:t>▶ Paso 6: Determinación Analítica del Punto de Equilibrio de Amortización de Taller</w:t>
            </w:r>
          </w:p>
          <w:p>
            <w:pPr>
              <w:keepLines/>
              <w:spacing w:before="0" w:after="60" w:line="276" w:lineRule="auto"/>
              <w:jc w:val="both"/>
            </w:pPr>
            <w:r>
              <w:rPr>
                <w:rFonts w:ascii="Calibri" w:hAnsi="Calibri"/>
                <w:color w:val="1F2937"/>
                <w:sz w:val="18"/>
              </w:rPr>
              <w:t>Fundamento Teórico: Análisis de punto de equilibrio de inversión fija en maquinaria de taller mecánico (34,310.00 MXN):</w:t>
            </w:r>
          </w:p>
          <w:p>
            <w:pPr>
              <w:jc w:val="center"/>
              <w:keepLines/>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Con la venta de tan solo una máquina se amortiza el 100% del equipamiento del taller mecánico, quedando un beneficio neto adicional de 14,226.88 MXN.</w:t>
            </w:r>
          </w:p>
          <w:p>
            <w:pPr>
              <w:keepLines/>
              <w:spacing w:before="120" w:after="40" w:line="276" w:lineRule="auto"/>
            </w:pPr>
            <w:r>
              <w:rPr>
                <w:rFonts w:ascii="Calibri" w:hAnsi="Calibri"/>
                <w:b/>
                <w:color w:val="1E40AF"/>
                <w:sz w:val="19"/>
              </w:rPr>
              <w:t>▶ Paso 7: Modelo de Rentabilidad en Operación Diaria (Alimentos Frescos y Bebidas)</w:t>
            </w:r>
          </w:p>
          <w:p>
            <w:pPr>
              <w:keepLines/>
              <w:spacing w:before="0" w:after="60" w:line="276" w:lineRule="auto"/>
              <w:jc w:val="both"/>
            </w:pPr>
            <w:r>
              <w:rPr>
                <w:rFonts w:ascii="Calibri" w:hAnsi="Calibri"/>
                <w:color w:val="1F2937"/>
                <w:sz w:val="18"/>
              </w:rPr>
              <w:t>Fundamento Teórico: Modelo de margen mixto en autoservicio retail considerando una venta diaria conservadora de 30 paquetes de comida corrida ($120 MXN, margen $35 MXN) y 60 bebidas frías ($25 MXN, margen $9 MXN):</w:t>
            </w:r>
          </w:p>
          <w:p>
            <w:pPr>
              <w:jc w:val="center"/>
              <w:keepLines/>
              <w:spacing w:before="60" w:after="60"/>
            </w:pPr>
            <m:oMathPara>
              <m:oMath>
                <m:r>
                  <m:rPr>
                    <m:nor/>
                  </m:rPr>
                  <m:t>Margen Diario</m:t>
                </m:r>
                <m:r>
                  <m:t>=(30·35.00)+(60·9.00)=1,050.00+540.00=1,590.00</m:t>
                </m:r>
                <m:r>
                  <m:rPr>
                    <m:nor/>
                  </m:rPr>
                  <m:t> MXN/dia</m:t>
                </m:r>
              </m:oMath>
            </m:oMathPara>
          </w:p>
          <w:p>
            <w:pPr>
              <w:jc w:val="center"/>
              <w:keepLines/>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keepLines/>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Para el operador de la máquina, el costo total de la unidad se recupera en tan solo 24.5 días de servicio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tc>
      </w:tr>
    </w:tbl>
    <w:p>
      <w:pPr>
        <w:spacing w:before="0" w:after="80"/>
      </w:pPr>
    </w:p>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Hito / Entregable Clave</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CAD modelo maestro y planos</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cálculo y aprobación AF4</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Jaula estructural con zero-deflexión</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cerrado y fondo anticorrosivo</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Mecanismo de dispensación al ras montado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Descenso térmico validado a 4 °C</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Blindaje y cierre hermético verificado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8x6 y bus I2C calibrados</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transaccional cashless operativo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1:1 final y reporte PIA</w:t>
            </w:r>
          </w:p>
        </w:tc>
      </w:tr>
    </w:tbl>
    <w:p>
      <w:pPr>
        <w:keepNext/>
        <w:spacing w:before="320" w:after="80"/>
        <w:pBdr>
          <w:bottom w:val="single" w:sz="12" w:space="3" w:color="0F2C59"/>
        </w:pBdr>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Software</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r>
    </w:tbl>
    <w:p>
      <w:pPr>
        <w:keepNext/>
        <w:spacing w:before="320" w:after="80"/>
        <w:pBdr>
          <w:bottom w:val="single" w:sz="12" w:space="3" w:color="0F2C59"/>
        </w:pBdr>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en el Proyecto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atascos de resortes por flexión bajo carga mixta.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Expulsión suave de envases de comida (650 g) sin volcar.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Inhibición bacteriana total de alimentos cocinados.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incidentes de venta de comida rezagada.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Experiencia de compra instantánea sin fricción.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Autofinanciamiento y rentabilidad acelerada.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 tasa de adopción comercial por loncherías y B2B.</w:t>
            </w:r>
          </w:p>
        </w:tc>
      </w:tr>
    </w:tbl>
    <w:p>
      <w:pPr>
        <w:keepNext/>
        <w:spacing w:before="120" w:after="80"/>
        <w:pageBreakBefore/>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p>
      <w:pPr>
        <w:spacing w:before="60" w:after="20"/>
        <w:jc w:val="both"/>
      </w:pPr>
      <w:r>
        <w:rPr>
          <w:rFonts w:ascii="Calibri" w:hAnsi="Calibri"/>
          <w:b/>
          <w:sz w:val="18"/>
        </w:rPr>
        <w:t>[23] Aceroplaza Monterrey S.A. de C.V., «Catálogo Oficial de Precios y Especificaciones Técnicas: Perfiles PTR Estructurales, Canales y Láminas de Acero», Monterrey, N.L., México, 2026. [En línea]. Disponible en: https://www.aceroplaza.com/catalogo/</w:t>
      </w:r>
    </w:p>
    <w:p>
      <w:pPr>
        <w:spacing w:before="0" w:after="40"/>
        <w:jc w:val="both"/>
      </w:pPr>
      <w:r>
        <w:rPr>
          <w:rFonts w:ascii="Calibri" w:hAnsi="Calibri"/>
          <w:color w:val="374151"/>
          <w:sz w:val="17"/>
        </w:rPr>
        <w:t>   ↳ Datos Específicos Extraídos: Perfiles PTR 1 1/2" y 1" Cal. 14, tubulares rectangulares 22×20 mm y láminas roladas en frío y galvanizadas Cal. 18 para carrocería y charolas de alimentos.</w:t>
      </w:r>
    </w:p>
    <w:p>
      <w:pPr>
        <w:spacing w:before="60" w:after="20"/>
        <w:jc w:val="both"/>
      </w:pPr>
      <w:r>
        <w:rPr>
          <w:rFonts w:ascii="Calibri" w:hAnsi="Calibri"/>
          <w:b/>
          <w:sz w:val="18"/>
        </w:rPr>
        <w:t>[24] Mercado Libre México / Proveedores Verificados de Refrigeración, «Directorio de Proveedores y Catálogo de Componentes de Refrigeración Comercial (Compresores Embraco 1/3 HP, Condensadores, Termostatos y Motoventiladores)», Ciudad de México, 2026. [En línea]. Disponible en: https://listado.mercadolibre.com.mx/refrigeracion/</w:t>
      </w:r>
    </w:p>
    <w:p>
      <w:pPr>
        <w:spacing w:before="0" w:after="40"/>
        <w:jc w:val="both"/>
      </w:pPr>
      <w:r>
        <w:rPr>
          <w:rFonts w:ascii="Calibri" w:hAnsi="Calibri"/>
          <w:color w:val="374151"/>
          <w:sz w:val="17"/>
        </w:rPr>
        <w:t>   ↳ Datos Específicos Extraídos: Precios de mercado unitarios para compresor hermético Embraco EMIS70HHR 1/3 HP R134a, unidades condensadoras de cobre/aluminio, evaporador forzado y termostato STC-1000.</w:t>
      </w:r>
    </w:p>
    <w:p>
      <w:pPr>
        <w:spacing w:before="60" w:after="20"/>
        <w:jc w:val="both"/>
      </w:pPr>
      <w:r>
        <w:rPr>
          <w:rFonts w:ascii="Calibri" w:hAnsi="Calibri"/>
          <w:b/>
          <w:sz w:val="18"/>
        </w:rPr>
        <w:t>[25] The Home Depot México, «Catálogo Comercial de Tubería de Cobre Tipo L, Conexiones de Soldadura y Accesorios Industriales», Monterrey, N.L., México, 2026. [En línea]. Disponible en: https://www.homedepot.com.mx/plomeria/tuberia-y-conexiones-de-cobre</w:t>
      </w:r>
    </w:p>
    <w:p>
      <w:pPr>
        <w:spacing w:before="0" w:after="40"/>
        <w:jc w:val="both"/>
      </w:pPr>
      <w:r>
        <w:rPr>
          <w:rFonts w:ascii="Calibri" w:hAnsi="Calibri"/>
          <w:color w:val="374151"/>
          <w:sz w:val="17"/>
        </w:rPr>
        <w:t>   ↳ Datos Específicos Extraídos: Tubería de cobre rígida tipo L (3/8" y 1/4"), soldadura de plata al 5%, decapante y aislamiento elastomérico Armaflex.</w:t>
      </w:r>
    </w:p>
    <w:p>
      <w:pPr>
        <w:spacing w:before="60" w:after="20"/>
        <w:jc w:val="both"/>
      </w:pPr>
      <w:r>
        <w:rPr>
          <w:rFonts w:ascii="Calibri" w:hAnsi="Calibri"/>
          <w:b/>
          <w:sz w:val="18"/>
        </w:rPr>
        <w:t>[26] Mercado Libre México / Proveedores de Automatización Vending, «Catálogo de Actuadores Electromecánicos y Mecanismos de Espiral (Motorreductores 24V DC 25 RPM, Resortes Helicoidales y Coples de Aluminio CNC)», 2026. [En línea]. Disponible en: https://listado.mercadolibre.com.mx/vending/</w:t>
      </w:r>
    </w:p>
    <w:p>
      <w:pPr>
        <w:spacing w:before="0" w:after="40"/>
        <w:jc w:val="both"/>
      </w:pPr>
      <w:r>
        <w:rPr>
          <w:rFonts w:ascii="Calibri" w:hAnsi="Calibri"/>
          <w:color w:val="374151"/>
          <w:sz w:val="17"/>
        </w:rPr>
        <w:t>   ↳ Datos Específicos Extraídos: Motorreductores 24V DC con microswitch de fin de carrera, resortes cromados de alambre trefilado Ø 70 mm y coples mecanizados para eje D.</w:t>
      </w:r>
    </w:p>
    <w:p>
      <w:pPr>
        <w:spacing w:before="60" w:after="20"/>
        <w:jc w:val="both"/>
      </w:pPr>
      <w:r>
        <w:rPr>
          <w:rFonts w:ascii="Calibri" w:hAnsi="Calibri"/>
          <w:b/>
          <w:sz w:val="18"/>
        </w:rPr>
        <w:t>[27] Tienda Oficial Creality 3D / Mercado Libre México, «Insumos de Manufactura Aditiva: Filamento Técnico PETG Industrial e Impresoras 3D Serie Ender», 2026. [En línea]. Disponible en: https://listado.mercadolibre.com.mx/filamento-petg-1kg-creality</w:t>
      </w:r>
    </w:p>
    <w:p>
      <w:pPr>
        <w:spacing w:before="0" w:after="40"/>
        <w:jc w:val="both"/>
      </w:pPr>
      <w:r>
        <w:rPr>
          <w:rFonts w:ascii="Calibri" w:hAnsi="Calibri"/>
          <w:color w:val="374151"/>
          <w:sz w:val="17"/>
        </w:rPr>
        <w:t>   ↳ Datos Específicos Extraídos: Parámetros de impresión, temperatura de transición vítrea (80 °C) y costo por bobina de filamento PETG industrial para soportes de bandejas.</w:t>
      </w:r>
    </w:p>
    <w:p>
      <w:pPr>
        <w:spacing w:before="60" w:after="20"/>
        <w:jc w:val="both"/>
      </w:pPr>
      <w:r>
        <w:rPr>
          <w:rFonts w:ascii="Calibri" w:hAnsi="Calibri"/>
          <w:b/>
          <w:sz w:val="18"/>
        </w:rPr>
        <w:t>[28] Mean Well Enterprises Co., Ltd., «Suministro Industrial de Fuentes Conmutadas Serie LRS-350-24 de Alta Eficiencia (24V DC / 14.6A)», 2026. [En línea]. Disponible en: https://listado.mercadolibre.com.mx/fuente-mean-well-lrs-350-24</w:t>
      </w:r>
    </w:p>
    <w:p>
      <w:pPr>
        <w:spacing w:before="0" w:after="40"/>
        <w:jc w:val="both"/>
      </w:pPr>
      <w:r>
        <w:rPr>
          <w:rFonts w:ascii="Calibri" w:hAnsi="Calibri"/>
          <w:color w:val="374151"/>
          <w:sz w:val="17"/>
        </w:rPr>
        <w:t>   ↳ Datos Específicos Extraídos: Curva de eficiencia eléctrica (88%), protecciones contra sobretensión, cortocircuito y rango térmico industrial de -25 °C a +70 °C.</w:t>
      </w:r>
    </w:p>
    <w:p>
      <w:pPr>
        <w:spacing w:before="60" w:after="20"/>
        <w:jc w:val="both"/>
      </w:pPr>
      <w:r>
        <w:rPr>
          <w:rFonts w:ascii="Calibri" w:hAnsi="Calibri"/>
          <w:b/>
          <w:sz w:val="18"/>
        </w:rPr>
        <w:t>[29] Bait México / Altán Redes, «Planes de Conectividad Móvil M2M e Internet de las Cosas (IoT) para Telemetría Industrial», Ciudad de México, 2026. [En línea]. Disponible en: https://mibait.com/</w:t>
      </w:r>
    </w:p>
    <w:p>
      <w:pPr>
        <w:spacing w:before="0" w:after="40"/>
        <w:jc w:val="both"/>
      </w:pPr>
      <w:r>
        <w:rPr>
          <w:rFonts w:ascii="Calibri" w:hAnsi="Calibri"/>
          <w:color w:val="374151"/>
          <w:sz w:val="17"/>
        </w:rPr>
        <w:t>   ↳ Datos Específicos Extraídos: Paquetes de datos anuales M2M para pasarelas celulares 4G LTE y telemetría de máquinas expendedoras inteligentes.</w:t>
      </w:r>
    </w:p>
    <w:p>
      <w:pPr>
        <w:spacing w:before="60" w:after="20"/>
        <w:jc w:val="both"/>
      </w:pPr>
      <w:r>
        <w:rPr>
          <w:rFonts w:ascii="Calibri" w:hAnsi="Calibri"/>
          <w:b/>
          <w:sz w:val="18"/>
        </w:rPr>
        <w:t>[30] VEVOR Store México / Gutstark, «Catálogo de Maquinaria y Equipamiento de Taller Metalmecánico: Cortadoras de Plasma 50A, Soldadoras MIG y Dobladoras de Lámina», 2026. [En línea]. Disponible en: https://listado.mercadolibre.com.mx/herramientas/</w:t>
      </w:r>
    </w:p>
    <w:p>
      <w:pPr>
        <w:spacing w:before="0" w:after="40"/>
        <w:jc w:val="both"/>
      </w:pPr>
      <w:r>
        <w:rPr>
          <w:rFonts w:ascii="Calibri" w:hAnsi="Calibri"/>
          <w:color w:val="374151"/>
          <w:sz w:val="17"/>
        </w:rPr>
        <w:t>   ↳ Datos Específicos Extraídos: Especificaciones técnicas y costos de inversión de cortadora de plasma inverter 50A con arco piloto, compresor de aire de 50 L, tronzadora de 14" y dobladora manual de 36".</w:t>
      </w:r>
    </w:p>
    <w:p>
      <w:pPr>
        <w:spacing w:before="60" w:after="20"/>
        <w:jc w:val="both"/>
      </w:pPr>
      <w:r>
        <w:rPr>
          <w:rFonts w:ascii="Calibri" w:hAnsi="Calibri"/>
          <w:b/>
          <w:sz w:val="18"/>
        </w:rPr>
        <w:t>[31] Waveshare Electronics / Distribuidores Nacionales, «Módulos de Visualización HMI, Pantallas Táctiles IPS Capacitivas de 10.1 Pulgadas (1280×800) y Microcomputadoras Embebidas», 2026. [En línea]. Disponible en: https://www.waveshare.com/10.1inch-hdmi-lcd-e.htm</w:t>
      </w:r>
    </w:p>
    <w:p>
      <w:pPr>
        <w:spacing w:before="0" w:after="40"/>
        <w:jc w:val="both"/>
      </w:pPr>
      <w:r>
        <w:rPr>
          <w:rFonts w:ascii="Calibri" w:hAnsi="Calibri"/>
          <w:color w:val="374151"/>
          <w:sz w:val="17"/>
        </w:rPr>
        <w:t>   ↳ Datos Específicos Extraídos: Interfaz de comunicación HDMI/USB táctil capacitiva, consumo de 5V/2A y compatibilidad nativa con sistemas embebidos x86 (Intel N100) y Linux.</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ceroplaza.com/catalogo/perfil-ptr-estructural" TargetMode="External"/><Relationship Id="rId27" Type="http://schemas.openxmlformats.org/officeDocument/2006/relationships/hyperlink" Target="https://www.aceroplaza.com/catalogo/tubo-rectangular-industrial" TargetMode="External"/><Relationship Id="rId28" Type="http://schemas.openxmlformats.org/officeDocument/2006/relationships/hyperlink" Target="https://www.aceroplaza.com/catalogo/canal-de-acero" TargetMode="External"/><Relationship Id="rId29" Type="http://schemas.openxmlformats.org/officeDocument/2006/relationships/hyperlink" Target="https://www.aceroplaza.com/catalogo/lamina-rolada-en-frio" TargetMode="External"/><Relationship Id="rId30" Type="http://schemas.openxmlformats.org/officeDocument/2006/relationships/hyperlink" Target="https://www.aceroplaza.com/catalogo/lamina-galvanizada" TargetMode="External"/><Relationship Id="rId31" Type="http://schemas.openxmlformats.org/officeDocument/2006/relationships/hyperlink" Target="https://listado.mercadolibre.com.mx/herramientas/placa-acero-calibre-14" TargetMode="External"/><Relationship Id="rId32" Type="http://schemas.openxmlformats.org/officeDocument/2006/relationships/hyperlink" Target="https://listado.mercadolibre.com.mx/pintura-electrostatica-en-polvo" TargetMode="External"/><Relationship Id="rId33" Type="http://schemas.openxmlformats.org/officeDocument/2006/relationships/hyperlink" Target="https://listado.mercadolibre.com.mx/refrigeracion/compresor-embraco-1-3-hp" TargetMode="External"/><Relationship Id="rId34" Type="http://schemas.openxmlformats.org/officeDocument/2006/relationships/hyperlink" Target="https://listado.mercadolibre.com.mx/refrigeracion/condensador-aluminio-cobre-refrigeracion" TargetMode="External"/><Relationship Id="rId35" Type="http://schemas.openxmlformats.org/officeDocument/2006/relationships/hyperlink" Target="https://listado.mercadolibre.com.mx/motoventilador-10w-refrigeracion" TargetMode="External"/><Relationship Id="rId36" Type="http://schemas.openxmlformats.org/officeDocument/2006/relationships/hyperlink" Target="https://listado.mercadolibre.com.mx/evaporador-tiro-forzado-refrigeracion" TargetMode="External"/><Relationship Id="rId37" Type="http://schemas.openxmlformats.org/officeDocument/2006/relationships/hyperlink" Target="https://listado.mercadolibre.com.mx/termostato-digital-stc-1000" TargetMode="External"/><Relationship Id="rId38" Type="http://schemas.openxmlformats.org/officeDocument/2006/relationships/hyperlink" Target="https://listado.mercadolibre.com.mx/filtro-deshidratador-cobre-refrigeracion" TargetMode="External"/><Relationship Id="rId39" Type="http://schemas.openxmlformats.org/officeDocument/2006/relationships/hyperlink" Target="https://www.homedepot.com.mx/plomeria/tuberia-y-conexiones-de-cobre" TargetMode="External"/><Relationship Id="rId40" Type="http://schemas.openxmlformats.org/officeDocument/2006/relationships/hyperlink" Target="https://listado.mercadolibre.com.mx/gas-refrigerante-r134a-lata" TargetMode="External"/><Relationship Id="rId41" Type="http://schemas.openxmlformats.org/officeDocument/2006/relationships/hyperlink" Target="https://listado.mercadolibre.com.mx/espuma-poliuretano-aislamiento-termico" TargetMode="External"/><Relationship Id="rId42" Type="http://schemas.openxmlformats.org/officeDocument/2006/relationships/hyperlink" Target="https://listado.mercadolibre.com.mx/silentblock-m8-antivibratorio" TargetMode="External"/><Relationship Id="rId43" Type="http://schemas.openxmlformats.org/officeDocument/2006/relationships/hyperlink" Target="https://listado.mercadolibre.com.mx/motorreductor-24v-vending-25rpm" TargetMode="External"/><Relationship Id="rId44" Type="http://schemas.openxmlformats.org/officeDocument/2006/relationships/hyperlink" Target="https://listado.mercadolibre.com.mx/resorte-espiral-maquina-vending" TargetMode="External"/><Relationship Id="rId45" Type="http://schemas.openxmlformats.org/officeDocument/2006/relationships/hyperlink" Target="https://listado.mercadolibre.com.mx/cople-flexible-aluminio-eje" TargetMode="External"/><Relationship Id="rId46" Type="http://schemas.openxmlformats.org/officeDocument/2006/relationships/hyperlink" Target="https://listado.mercadolibre.com.mx/filamento-petg-1kg-creality" TargetMode="External"/><Relationship Id="rId47" Type="http://schemas.openxmlformats.org/officeDocument/2006/relationships/hyperlink" Target="https://listado.mercadolibre.com.mx/fuente-mean-well-lrs-350-24" TargetMode="External"/><Relationship Id="rId48" Type="http://schemas.openxmlformats.org/officeDocument/2006/relationships/hyperlink" Target="https://listado.mercadolibre.com.mx/esp32-4g-lte-sim7600" TargetMode="External"/><Relationship Id="rId49" Type="http://schemas.openxmlformats.org/officeDocument/2006/relationships/hyperlink" Target="https://listado.mercadolibre.com.mx/tarjeta-sim-iot-m2m" TargetMode="External"/><Relationship Id="rId50" Type="http://schemas.openxmlformats.org/officeDocument/2006/relationships/hyperlink" Target="https://listado.mercadolibre.com.mx/modulo-rele-16-canales-optoacoplado" TargetMode="External"/><Relationship Id="rId51" Type="http://schemas.openxmlformats.org/officeDocument/2006/relationships/hyperlink" Target="https://listado.mercadolibre.com.mx/modulo-mcp23017-i2c" TargetMode="External"/><Relationship Id="rId52" Type="http://schemas.openxmlformats.org/officeDocument/2006/relationships/hyperlink" Target="https://listado.mercadolibre.com.mx/diodo-1n4007-paquete" TargetMode="External"/><Relationship Id="rId53" Type="http://schemas.openxmlformats.org/officeDocument/2006/relationships/hyperlink" Target="https://listado.mercadolibre.com.mx/sensor-infrarrojo-barrera-optica-38khz" TargetMode="External"/><Relationship Id="rId54" Type="http://schemas.openxmlformats.org/officeDocument/2006/relationships/hyperlink" Target="https://listado.mercadolibre.com.mx/modulo-lm2596-reductor-voltaje" TargetMode="External"/><Relationship Id="rId55" Type="http://schemas.openxmlformats.org/officeDocument/2006/relationships/hyperlink" Target="https://listado.mercadolibre.com.mx/kit-cables-conectores-jst-automotriz" TargetMode="External"/><Relationship Id="rId56" Type="http://schemas.openxmlformats.org/officeDocument/2006/relationships/hyperlink" Target="https://listado.mercadolibre.com.mx/corte-laser-acrilico-personalizado" TargetMode="External"/><Relationship Id="rId57" Type="http://schemas.openxmlformats.org/officeDocument/2006/relationships/hyperlink" Target="https://listado.mercadolibre.com.mx/tira-led-12v-perfil-aluminio-blanco-frio" TargetMode="External"/><Relationship Id="rId58" Type="http://schemas.openxmlformats.org/officeDocument/2006/relationships/hyperlink" Target="https://listado.mercadolibre.com.mx/vidrio-templado-a-medida" TargetMode="External"/><Relationship Id="rId59" Type="http://schemas.openxmlformats.org/officeDocument/2006/relationships/hyperlink" Target="https://listado.mercadolibre.com.mx/cerradura-tubular-vending-chicago-ace" TargetMode="External"/><Relationship Id="rId60" Type="http://schemas.openxmlformats.org/officeDocument/2006/relationships/hyperlink" Target="https://listado.mercadolibre.com.mx/bisagra-industrial-acero-inoxidable-pesada" TargetMode="External"/><Relationship Id="rId61" Type="http://schemas.openxmlformats.org/officeDocument/2006/relationships/hyperlink" Target="https://listado.mercadolibre.com.mx/bisagra-articulada-gravedad" TargetMode="External"/><Relationship Id="rId62" Type="http://schemas.openxmlformats.org/officeDocument/2006/relationships/hyperlink" Target="https://listado.mercadolibre.com.mx/ruedas-industriales-giratorias-4-pulgadas-freno" TargetMode="External"/><Relationship Id="rId63" Type="http://schemas.openxmlformats.org/officeDocument/2006/relationships/hyperlink" Target="https://www.homedepot.com.mx/herramientas/tornillos-y-taquetes" TargetMode="External"/><Relationship Id="rId64" Type="http://schemas.openxmlformats.org/officeDocument/2006/relationships/hyperlink" Target="https://listado.mercadolibre.com.mx/empaque-epdm-sello-puerta-refrigeracion" TargetMode="External"/><Relationship Id="rId65" Type="http://schemas.openxmlformats.org/officeDocument/2006/relationships/hyperlink" Target="https://www.waveshare.com/10.1inch-hdmi-lcd-h-with-case.htm" TargetMode="External"/><Relationship Id="rId66" Type="http://schemas.openxmlformats.org/officeDocument/2006/relationships/hyperlink" Target="https://listado.mercadolibre.com.mx/mini-pc-intel-n100-8gb-ram" TargetMode="External"/><Relationship Id="rId67" Type="http://schemas.openxmlformats.org/officeDocument/2006/relationships/hyperlink" Target="https://listado.mercadolibre.com.mx/soporte-brazo-vesa-tubo-articulado" TargetMode="External"/><Relationship Id="rId68" Type="http://schemas.openxmlformats.org/officeDocument/2006/relationships/hyperlink" Target="https://listado.mercadolibre.com.mx/camara-web-gran-angular-1080p" TargetMode="External"/><Relationship Id="rId69" Type="http://schemas.openxmlformats.org/officeDocument/2006/relationships/hyperlink" Target="https://listado.mercadolibre.com.mx/camara-domo-exterior-ip-rtsp" TargetMode="External"/><Relationship Id="rId70" Type="http://schemas.openxmlformats.org/officeDocument/2006/relationships/hyperlink" Target="https://listado.mercadolibre.com.mx/cable-hdmi-blindado-fuente" TargetMode="External"/><Relationship Id="rId71" Type="http://schemas.openxmlformats.org/officeDocument/2006/relationships/hyperlink" Target="https://listado.mercadolibre.com.mx/cortadora-plasma-50a-inverter-arco-piloto" TargetMode="External"/><Relationship Id="rId72" Type="http://schemas.openxmlformats.org/officeDocument/2006/relationships/hyperlink" Target="https://listado.mercadolibre.com.mx/compresor-aire-50-litros-2.5-hp" TargetMode="External"/><Relationship Id="rId73" Type="http://schemas.openxmlformats.org/officeDocument/2006/relationships/hyperlink" Target="https://listado.mercadolibre.com.mx/consumibles-antorcha-plasma-ag60" TargetMode="External"/><Relationship Id="rId74" Type="http://schemas.openxmlformats.org/officeDocument/2006/relationships/hyperlink" Target="https://listado.mercadolibre.com.mx/soldadora-inverter-mig-microalambre-sin-gas" TargetMode="External"/><Relationship Id="rId75" Type="http://schemas.openxmlformats.org/officeDocument/2006/relationships/hyperlink" Target="https://listado.mercadolibre.com.mx/tanque-gas-argon-co2-soldadura" TargetMode="External"/><Relationship Id="rId76" Type="http://schemas.openxmlformats.org/officeDocument/2006/relationships/hyperlink" Target="https://listado.mercadolibre.com.mx/microalambre-er70s-6-5kg-0.030" TargetMode="External"/><Relationship Id="rId77" Type="http://schemas.openxmlformats.org/officeDocument/2006/relationships/hyperlink" Target="https://listado.mercadolibre.com.mx/tronzadora-de-metales-14-pulgadas" TargetMode="External"/><Relationship Id="rId78" Type="http://schemas.openxmlformats.org/officeDocument/2006/relationships/hyperlink" Target="https://listado.mercadolibre.com.mx/disco-corte-metal-14-pulgadas-caja-10" TargetMode="External"/><Relationship Id="rId79" Type="http://schemas.openxmlformats.org/officeDocument/2006/relationships/hyperlink" Target="https://listado.mercadolibre.com.mx/dobladora-lamina-manual-36-pulgadas" TargetMode="External"/><Relationship Id="rId80" Type="http://schemas.openxmlformats.org/officeDocument/2006/relationships/hyperlink" Target="https://listado.mercadolibre.com.mx/esmeriladora-angular-4-1-2-pulgadas" TargetMode="External"/><Relationship Id="rId81" Type="http://schemas.openxmlformats.org/officeDocument/2006/relationships/hyperlink" Target="https://listado.mercadolibre.com.mx/paquete-discos-corte-flap-esmeriladora" TargetMode="External"/><Relationship Id="rId82" Type="http://schemas.openxmlformats.org/officeDocument/2006/relationships/hyperlink" Target="https://listado.mercadolibre.com.mx/taladro-de-banco-columna-1-2" TargetMode="External"/><Relationship Id="rId83" Type="http://schemas.openxmlformats.org/officeDocument/2006/relationships/hyperlink" Target="https://listado.mercadolibre.com.mx/juego-brocas-cobalto-m35-metal" TargetMode="External"/><Relationship Id="rId84" Type="http://schemas.openxmlformats.org/officeDocument/2006/relationships/hyperlink" Target="https://listado.mercadolibre.com.mx/remachadora-tuercas-roscadas-kit" TargetMode="External"/><Relationship Id="rId85" Type="http://schemas.openxmlformats.org/officeDocument/2006/relationships/hyperlink" Target="https://listado.mercadolibre.com.mx/impresora-3d-creality-ender-3-v3-se" TargetMode="External"/><Relationship Id="rId86" Type="http://schemas.openxmlformats.org/officeDocument/2006/relationships/hyperlink" Target="https://listado.mercadolibre.com.mx/estacion-soldadura-yihua-8786d" TargetMode="External"/><Relationship Id="rId87" Type="http://schemas.openxmlformats.org/officeDocument/2006/relationships/hyperlink" Target="https://listado.mercadolibre.com.mx/multimetro-digital-true-rms-autorrango" TargetMode="External"/><Relationship Id="rId88" Type="http://schemas.openxmlformats.org/officeDocument/2006/relationships/hyperlink" Target="https://listado.mercadolibre.com.mx/bomba-vacio-refrigeracion-3-cfm" TargetMode="External"/><Relationship Id="rId89" Type="http://schemas.openxmlformats.org/officeDocument/2006/relationships/hyperlink" Target="https://listado.mercadolibre.com.mx/soplete-mapp-gas-varillas-plata-soldadura" TargetMode="External"/><Relationship Id="rId90" Type="http://schemas.openxmlformats.org/officeDocument/2006/relationships/hyperlink" Target="https://listado.mercadolibre.com.mx/escuadras-magneticas-soldador-herramientas" TargetMode="External"/><Relationship Id="rId91"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