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3 (AF3 — 40%): PRODUCTO INTEGRADOR DE APRENDIZAJE (PIA)</w:t>
        <w:br/>
        <w:t>REPORTE TÉCNICO FINAL DE INGENIERÍA MECATRÓNICA</w:t>
        <w:br/>
        <w:br/>
      </w:r>
      <w:r>
        <w:rPr>
          <w:rFonts w:ascii="Calibri" w:hAnsi="Calibri"/>
          <w:b/>
          <w:color w:val="0F2C59"/>
          <w:sz w:val="22"/>
        </w:rPr>
        <w:t>«INGENIERÍA MECATRÓNICA INTEGRAL, MODELACIÓN FÍSICO-MATEMÁTICA, GEMELO DIGITAL 3D Y VALIDACIÓN EXPERIMENTAL DE UN MICRO-RESTAURANTE AUTOMATIZADO DESATENDIDO (EXPENDEX): SISTEMA VENDING IOT HÍBRIDO DE 36 CANALES MIXTOS (1+4+1) CON MOTORREDUCTORES PLANETARIOS 24V DC, RECIPIENTES CUADRADOS DE TRES DIVISIONES EN RESORTE CIRCULAR ÚNICO (Ø 144 MM), BEBIDAS REFRIGERADAS (2–4 °C) Y PANTALLA DE 10.1"»</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(Acceso Abierto vía Enlace): https://github.com/Anubys6/ExpendeX-Smart-Vending-FIME</w:t>
        <w:br/>
      </w:r>
      <w:r>
        <w:rPr>
          <w:rFonts w:ascii="Calibri" w:hAnsi="Calibri"/>
          <w:i/>
          <w:color w:val="475569"/>
          <w:sz w:val="17"/>
        </w:rPr>
        <w:t>En estricto apego al Programa de Evidencias de Aprendizaje de la U.A. Proyecto de Ingeniería Aplicada (IEAI)</w:t>
      </w:r>
      <w:r>
        <w:rPr>
          <w:rFonts w:ascii="Calibri" w:hAnsi="Calibri"/>
          <w:i/>
          <w:color w:val="475569"/>
          <w:sz w:val="17"/>
        </w:rPr>
        <w:t>En estricto apego al Programa de Evidencias de Aprendizaje de la U.A. Proyecto de Ingeniería Aplicada (IEAI)</w:t>
      </w:r>
      <w:r>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rPr>
          <w:rFonts w:ascii="Calibri" w:hAnsi="Calibri"/>
          <w:color w:val="1F2937"/>
          <w:sz w:val="20"/>
        </w:rPr>
        <w:t>A continuación se presenta la estructura maestra de los 26 capítulos oficiales y los 8 anexos técnicos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ANEXOS TÉCNICOS DEL PIA (ANEXOS A – I)</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A</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A: Planos Mecánicos Ortogonales y Diagramas Electrónicos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B</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B: Códigos de Programación y Archivos de Simulación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C</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C: Síntesis de Hojas de Datos Técnicas (Datasheets)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D</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D: Lista de Materiales Detallada (BOM) y Presupuesto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E</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E: Manual de Operación del Usuario y Abastecimiento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F</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F: Formatos Oficiales y Registros Metrológicos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G</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G: Galería de Evidencias Visuales del Prototipo y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H</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H: Bitácora Trazable de Modificaciones de Ingeniería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I</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I: Hoja de Ruta de Manufactura, Órdenes de Construcción (WO-01 a WO-08) y Pasos de Fabricación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38</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REPOSITORIO OFICIAL DEL PROYECTO EN GITHUB (ACCESO ABIERTO VÍA ENLACE)</w:t>
              <w:br/>
            </w:r>
            <w:r>
              <w:rPr>
                <w:rFonts w:ascii="Calibri" w:hAnsi="Calibri"/>
                <w:i/>
                <w:color w:val="1F2937"/>
                <w:sz w:val="19"/>
              </w:rPr>
              <w:t>En cumplimiento riguroso con los 26 apartados estructurados en el Programa de Evidencias de Aprendizaje de la Unidad de Aprendizaje: Proyecto de Ingeniería Aplicada (IEAI) de la Facultad de Ingeniería Mecánica y Eléctrica (FIME - UANL), el ecosistema completo de diseño del proyecto ExpendeX —incluyendo los modelos tridimensionales CAD paramétricos en Autodesk Fusion 360, esquemáticos y diseño de circuito impreso (PCB) en EasyEDA, código fuente del firmware en C++ para ESP32 FreeRTOS (Wokwi / PlatformIO), la suite web del quiosco y panel administrativo, y la documentación académica completa de las 5 Actividades Fundamentales— se encuentra configurado con acceso público directo vía enlace para que cualquier docente, evaluador o estudiante con el hipervínculo acceda de inmediato sin barreras de autenticación:</w:t>
              <w:br/>
              <w:br/>
              <w:t>• URL Oficial (Acceso Abierto vía Enlace): https://github.com/Anubys6/ExpendeX-Smart-Vending-FIME</w:t>
              <w:br/>
              <w:t>• Licencia: MIT License (Código abierto institucional FIME UANL)</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40" w:after="40" w:line="276" w:lineRule="auto"/>
        <w:ind w:left="504" w:hanging="504"/>
      </w:pPr>
      <w:r>
        <w:rPr>
          <w:rFonts w:ascii="Calibri" w:hAnsi="Calibri"/>
          <w:color w:val="1F2937"/>
          <w:sz w:val="18"/>
        </w:rPr>
        <w:t>[1] Y. A. Cengel y M. A. Boles, Termodinámica, 9ª ed. Ciudad de México, México: McGraw-Hill Interamericana, 2019.</w:t>
      </w:r>
    </w:p>
    <w:p>
      <w:pPr>
        <w:spacing w:before="40" w:after="40" w:line="276" w:lineRule="auto"/>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40" w:after="40" w:line="276" w:lineRule="auto"/>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40" w:after="40" w:line="276" w:lineRule="auto"/>
        <w:ind w:left="504" w:hanging="504"/>
      </w:pPr>
      <w:r>
        <w:rPr>
          <w:rFonts w:ascii="Calibri" w:hAnsi="Calibri"/>
          <w:color w:val="1F2937"/>
          <w:sz w:val="18"/>
        </w:rPr>
        <w:t>[4] R. C. Hibbeler, Mecánica de Materiales, 9ª ed. Ciudad de México, México: Pearson Educación, 2017.</w:t>
      </w:r>
    </w:p>
    <w:p>
      <w:pPr>
        <w:spacing w:before="40" w:after="40" w:line="276" w:lineRule="auto"/>
        <w:ind w:left="504" w:hanging="504"/>
      </w:pPr>
      <w:r>
        <w:rPr>
          <w:rFonts w:ascii="Calibri" w:hAnsi="Calibri"/>
          <w:color w:val="1F2937"/>
          <w:sz w:val="18"/>
        </w:rPr>
        <w:t>[5] ASHRAE, «Standard 32.1-2022: Methods of Testing for Rating Vending Machines for Bottled, Canned, and Other Sealed Beverages», Atlanta, GA, 2022.</w:t>
      </w:r>
    </w:p>
    <w:p>
      <w:pPr>
        <w:spacing w:before="40" w:after="40" w:line="276" w:lineRule="auto"/>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40" w:after="40" w:line="276" w:lineRule="auto"/>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40" w:after="40" w:line="276" w:lineRule="auto"/>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40" w:after="40" w:line="276" w:lineRule="auto"/>
        <w:ind w:left="504" w:hanging="504"/>
      </w:pPr>
      <w:r>
        <w:rPr>
          <w:rFonts w:ascii="Calibri" w:hAnsi="Calibri"/>
          <w:color w:val="1F2937"/>
          <w:sz w:val="18"/>
        </w:rPr>
        <w:t>[9] IPC, «IPC-2221B: Generic Standard on Printed Board Design», Bannockburn, IL, EE.UU.: Association Connecting Electronics Industries, 2012.</w:t>
      </w:r>
    </w:p>
    <w:p>
      <w:pPr>
        <w:spacing w:before="40" w:after="40" w:line="276" w:lineRule="auto"/>
        <w:ind w:left="504" w:hanging="504"/>
      </w:pPr>
      <w:r>
        <w:rPr>
          <w:rFonts w:ascii="Calibri" w:hAnsi="Calibri"/>
          <w:color w:val="1F2937"/>
          <w:sz w:val="18"/>
        </w:rPr>
        <w:t>[10] World Wide Web Consortium (W3C), «Web Content Accessibility Guidelines (WCAG) 2.1», 2018.</w:t>
      </w:r>
    </w:p>
    <w:p>
      <w:pPr>
        <w:spacing w:before="40" w:after="40" w:line="276" w:lineRule="auto"/>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40" w:after="40" w:line="276" w:lineRule="auto"/>
        <w:ind w:left="504" w:hanging="504"/>
      </w:pPr>
      <w:r>
        <w:rPr>
          <w:rFonts w:ascii="Calibri" w:hAnsi="Calibri"/>
          <w:color w:val="1F2937"/>
          <w:sz w:val="18"/>
        </w:rPr>
        <w:t>[12] Underwriters Laboratories, «UL 751: Standard for Vending Machines», 8ª ed., Northbrook, IL, EE.UU.: UL LLC, 2020.</w:t>
      </w:r>
    </w:p>
    <w:p>
      <w:pPr>
        <w:spacing w:before="40" w:after="40" w:line="276" w:lineRule="auto"/>
        <w:ind w:left="504" w:hanging="504"/>
      </w:pPr>
      <w:r>
        <w:rPr>
          <w:rFonts w:ascii="Calibri" w:hAnsi="Calibri"/>
          <w:color w:val="1F2937"/>
          <w:sz w:val="18"/>
        </w:rPr>
        <w:t>[13] K. Ogata, Ingeniería de Control Moderna, 5ª ed. Madrid, España: Pearson Prentice Hall, 2010.</w:t>
      </w:r>
    </w:p>
    <w:p>
      <w:pPr>
        <w:spacing w:before="40" w:after="40" w:line="276" w:lineRule="auto"/>
        <w:ind w:left="504" w:hanging="504"/>
      </w:pPr>
      <w:r>
        <w:rPr>
          <w:rFonts w:ascii="Calibri" w:hAnsi="Calibri"/>
          <w:color w:val="1F2937"/>
          <w:sz w:val="18"/>
        </w:rPr>
        <w:t>[14] G. Pahl, W. Beitz, J. Feldhusen y K. H. Grote, Engineering Design: A Systematic Approach, 3ª ed. Londres, Reino Unido: Springer, 2007.</w:t>
      </w:r>
    </w:p>
    <w:p>
      <w:pPr>
        <w:spacing w:before="40" w:after="40" w:line="276" w:lineRule="auto"/>
        <w:ind w:left="504" w:hanging="504"/>
      </w:pPr>
      <w:r>
        <w:rPr>
          <w:rFonts w:ascii="Calibri" w:hAnsi="Calibri"/>
          <w:color w:val="1F2937"/>
          <w:sz w:val="18"/>
        </w:rPr>
        <w:t>[15] Verein Deutscher Ingenieure, «VDI 2206: Design Methodology for Mechatronic Systems», Düsseldorf, Alemania: Beuth Verlag, 2004.</w:t>
      </w:r>
    </w:p>
    <w:p>
      <w:pPr>
        <w:spacing w:before="40" w:after="40" w:line="276" w:lineRule="auto"/>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40" w:after="40" w:line="276" w:lineRule="auto"/>
        <w:ind w:left="504" w:hanging="504"/>
      </w:pPr>
      <w:r>
        <w:rPr>
          <w:rFonts w:ascii="Calibri" w:hAnsi="Calibri"/>
          <w:color w:val="1F2937"/>
          <w:sz w:val="18"/>
        </w:rPr>
        <w:t>[17] S. J. Kline y F. A. McClintock, «Describing uncertainties in single-sample experiments», Mechanical Engineering, vol. 75, pp. 3–8, ene. 1953.</w:t>
      </w:r>
    </w:p>
    <w:p>
      <w:pPr>
        <w:spacing w:before="40" w:after="40" w:line="276" w:lineRule="auto"/>
        <w:ind w:left="504" w:hanging="504"/>
      </w:pPr>
      <w:r>
        <w:rPr>
          <w:rFonts w:ascii="Calibri" w:hAnsi="Calibri"/>
          <w:color w:val="1F2937"/>
          <w:sz w:val="18"/>
        </w:rPr>
        <w:t>[18] D. C. Montgomery, Design and Analysis of Experiments, 10ª ed. Hoboken, NJ, EE.UU.: John Wiley &amp; Sons, 2019.</w:t>
      </w:r>
    </w:p>
    <w:p>
      <w:pPr>
        <w:spacing w:before="40" w:after="40" w:line="276" w:lineRule="auto"/>
        <w:ind w:left="504" w:hanging="504"/>
      </w:pPr>
      <w:r>
        <w:rPr>
          <w:rFonts w:ascii="Calibri" w:hAnsi="Calibri"/>
          <w:color w:val="1F2937"/>
          <w:sz w:val="18"/>
        </w:rPr>
        <w:t>[19] Espressif Systems, «ESP32-WROOM-32E Datasheet: 2.4 GHz Wi-Fi + Bluetooth + BLE MCU Module», Shanghái, China, 2024.</w:t>
      </w:r>
    </w:p>
    <w:p>
      <w:pPr>
        <w:spacing w:before="40" w:after="40" w:line="276" w:lineRule="auto"/>
        <w:ind w:left="504" w:hanging="504"/>
      </w:pPr>
      <w:r>
        <w:rPr>
          <w:rFonts w:ascii="Calibri" w:hAnsi="Calibri"/>
          <w:color w:val="1F2937"/>
          <w:sz w:val="18"/>
        </w:rPr>
        <w:t>[20] Embraco - Nidec Global Appliance, «Application Guidelines for Commercial Refrigeration Compressors (R134a)», Joinville, Brasil, 2022.</w:t>
      </w:r>
    </w:p>
    <w:p>
      <w:pPr>
        <w:spacing w:before="40" w:after="40" w:line="276" w:lineRule="auto"/>
        <w:ind w:left="504" w:hanging="504"/>
      </w:pPr>
      <w:r>
        <w:rPr>
          <w:rFonts w:ascii="Calibri" w:hAnsi="Calibri"/>
          <w:color w:val="1F2937"/>
          <w:sz w:val="18"/>
        </w:rPr>
        <w:t>[21] Danfoss Climate Solutions, «KP Pressure Switches Technical Brochure: Dual High/Low Refrigeration Cut-outs», Nordborg, Dinamarca, 2023.</w:t>
      </w:r>
    </w:p>
    <w:p>
      <w:pPr>
        <w:spacing w:before="40" w:after="40" w:line="276" w:lineRule="auto"/>
        <w:ind w:left="504" w:hanging="504"/>
      </w:pPr>
      <w:r>
        <w:rPr>
          <w:rFonts w:ascii="Calibri" w:hAnsi="Calibri"/>
          <w:color w:val="1F2937"/>
          <w:sz w:val="18"/>
        </w:rPr>
        <w:t>[22] Department of Defense, «MIL-HDBK-217F: Reliability Prediction of Electronic Equipment», Washington, DC, EE.UU., 1995.</w:t>
      </w:r>
    </w:p>
    <w:p>
      <w:pPr>
        <w:spacing w:before="40" w:after="40" w:line="276" w:lineRule="auto"/>
        <w:ind w:left="504" w:hanging="504"/>
      </w:pPr>
      <w:r>
        <w:rPr>
          <w:rFonts w:ascii="Calibri" w:hAnsi="Calibri"/>
          <w:color w:val="1F2937"/>
          <w:sz w:val="18"/>
        </w:rPr>
        <w:t>[23] Infineon Technologies AG, «IRLZ44NPBF Logic-Level N-Channel &amp; IRF9540NPBF P-Channel Power MOSFET Datasheets», Neubiberg, Alemania, 2021.</w:t>
      </w:r>
    </w:p>
    <w:p>
      <w:pPr>
        <w:spacing w:before="40" w:after="40" w:line="276" w:lineRule="auto"/>
        <w:ind w:left="504" w:hanging="504"/>
      </w:pPr>
      <w:r>
        <w:rPr>
          <w:rFonts w:ascii="Calibri" w:hAnsi="Calibri"/>
          <w:color w:val="1F2937"/>
          <w:sz w:val="18"/>
        </w:rPr>
        <w:t>[24] Mean Well Enterprises Co., «LRS-350 Series 350W Single Output Enclosed Type Power Supply Specification», New Taipei City, Taiwán, 2023.</w:t>
      </w:r>
    </w:p>
    <w:p>
      <w:pPr>
        <w:spacing w:before="40" w:after="40" w:line="276" w:lineRule="auto"/>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p>
      <w:r>
        <w:br w:type="page"/>
      </w:r>
    </w:p>
    <w:p>
      <w:pPr>
        <w:keepNext/>
        <w:spacing w:before="320" w:after="80"/>
        <w:pBdr>
          <w:bottom w:val="single" w:sz="12" w:space="3" w:color="0F2C59"/>
        </w:pBdr>
      </w:pPr>
      <w:r>
        <w:rPr>
          <w:rFonts w:ascii="Calibri" w:hAnsi="Calibri"/>
          <w:b/>
          <w:color w:val="0F2C59"/>
          <w:sz w:val="28"/>
        </w:rPr>
        <w:t>26.0 ANEXOS TÉCNICOS DEL PRODUCTO INTEGRADOR DE APRENDIZAJE (ANEXOS A – I)</w:t>
      </w:r>
    </w:p>
    <w:p>
      <w:pPr>
        <w:spacing w:line="276" w:lineRule="auto" w:before="0" w:after="80"/>
        <w:jc w:val="both"/>
      </w:pPr>
      <w:r>
        <w:rPr>
          <w:rFonts w:ascii="Calibri" w:hAnsi="Calibri"/>
          <w:color w:val="1F2937"/>
          <w:sz w:val="20"/>
        </w:rPr>
        <w:t>Esta sección compila los nueve anexos técnicos (incluyendo la Hoja de Ruta de Manufactura y Órdenes de Construcción) de ingeniería que respaldan documentalmente la fabricación en taller mecánico, el ensamble electrónico en PCB, la programación del firmware embebido, las hojas de datos de componentes, el manual de usuario y los registros de pruebas del sistema Expendex.</w:t>
      </w:r>
    </w:p>
    <w:p>
      <w:pPr>
        <w:keepNext/>
        <w:spacing w:before="260" w:after="80"/>
        <w:pBdr>
          <w:bottom w:val="single" w:sz="6" w:space="2" w:color="1E40AF"/>
        </w:pBdr>
      </w:pPr>
      <w:r>
        <w:rPr>
          <w:rFonts w:ascii="Calibri" w:hAnsi="Calibri"/>
          <w:b/>
          <w:color w:val="1E40AF"/>
          <w:sz w:val="24"/>
        </w:rPr>
        <w:t>Anexo A: Planos Mecánicos Ortogonales y Diagramas Electrónicos (CAD / EasyEDA)</w:t>
      </w:r>
    </w:p>
    <w:p>
      <w:pPr>
        <w:spacing w:line="276" w:lineRule="auto" w:before="0" w:after="80"/>
        <w:jc w:val="both"/>
      </w:pPr>
      <w:r>
        <w:rPr>
          <w:rFonts w:ascii="Calibri" w:hAnsi="Calibri"/>
          <w:b/>
          <w:color w:val="1F2937"/>
          <w:sz w:val="20"/>
        </w:rPr>
        <w:t xml:space="preserve">Memoria Gráfica Oficial del Prototipo Final: </w:t>
      </w:r>
      <w:r>
        <w:rPr>
          <w:rFonts w:ascii="Calibri" w:hAnsi="Calibri"/>
          <w:color w:val="1F2937"/>
          <w:sz w:val="20"/>
        </w:rPr>
        <w:t>Se presentan las vistas ortogonales a escala 1:1 extraídas de Autodesk Fusion 360 con el modelo oficial actualizado (pantalla capacitiva de 10.1 pulgadas, paredes laterales 100% lisas en lámina Cal. 18, 3 bisagras izquierdas en puerta principal, compuerta inferior sin manija con 2 bisagras superiores y 36 canales en configuración 1+4+1), así como el diseño de circuito impreso de doble capa en EasyEDA para la matriz MOSFET 6×6:</w:t>
      </w:r>
    </w:p>
    <w:p>
      <w:pPr>
        <w:jc w:val="center"/>
      </w:pPr>
      <w:r>
        <w:drawing>
          <wp:inline xmlns:a="http://schemas.openxmlformats.org/drawingml/2006/main" xmlns:pic="http://schemas.openxmlformats.org/drawingml/2006/picture">
            <wp:extent cx="2452048" cy="3840480"/>
            <wp:docPr id="18" name="Picture 18"/>
            <wp:cNvGraphicFramePr>
              <a:graphicFrameLocks noChangeAspect="1"/>
            </wp:cNvGraphicFramePr>
            <a:graphic>
              <a:graphicData uri="http://schemas.openxmlformats.org/drawingml/2006/picture">
                <pic:pic>
                  <pic:nvPicPr>
                    <pic:cNvPr id="0" name="01_Vista_Frontal_CAD_Final_Expendex.png"/>
                    <pic:cNvPicPr/>
                  </pic:nvPicPr>
                  <pic:blipFill>
                    <a:blip r:embed="rId28"/>
                    <a:stretch>
                      <a:fillRect/>
                    </a:stretch>
                  </pic:blipFill>
                  <pic:spPr>
                    <a:xfrm>
                      <a:off x="0" y="0"/>
                      <a:ext cx="2452048"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A.1. </w:t>
      </w:r>
      <w:r>
        <w:rPr>
          <w:rFonts w:ascii="Calibri" w:hAnsi="Calibri"/>
          <w:i/>
          <w:color w:val="4B5563"/>
          <w:sz w:val="18"/>
        </w:rPr>
        <w:t>Plano de elevación frontal ortogonal en Autodesk Fusion 360 (950 × 1,830 mm + 100 mm ruedas): distribución 1+4+1 de 36 canales, pantalla táctil de 10.1 pulgadas con Raspberry Pi, 3 bisagras izquierdas en puerta principal y compuerta inferior sin manija con 2 bisagras superiores.</w:t>
      </w:r>
    </w:p>
    <w:p>
      <w:pPr>
        <w:jc w:val="center"/>
      </w:pPr>
      <w:r>
        <w:drawing>
          <wp:inline xmlns:a="http://schemas.openxmlformats.org/drawingml/2006/main" xmlns:pic="http://schemas.openxmlformats.org/drawingml/2006/picture">
            <wp:extent cx="3291840" cy="3840480"/>
            <wp:docPr id="19" name="Picture 19"/>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9"/>
                    <a:stretch>
                      <a:fillRect/>
                    </a:stretch>
                  </pic:blipFill>
                  <pic:spPr>
                    <a:xfrm>
                      <a:off x="0" y="0"/>
                      <a:ext cx="3291840"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A.2. </w:t>
      </w:r>
      <w:r>
        <w:rPr>
          <w:rFonts w:ascii="Calibri" w:hAnsi="Calibri"/>
          <w:i/>
          <w:color w:val="4B5563"/>
          <w:sz w:val="18"/>
        </w:rPr>
        <w:t>Vista isométrica 3/4 frontal-derecha en Autodesk Fusion 360: cerramiento en lámina Cal. 18 con paredes laterales 100% lisas, rejilla inferior de ventilación para el motocompresor Embraco y base con 4 ruedas giratorias de grado industrial.</w:t>
      </w:r>
    </w:p>
    <w:p>
      <w:pPr>
        <w:jc w:val="center"/>
      </w:pPr>
      <w:r>
        <w:drawing>
          <wp:inline xmlns:a="http://schemas.openxmlformats.org/drawingml/2006/main" xmlns:pic="http://schemas.openxmlformats.org/drawingml/2006/picture">
            <wp:extent cx="4389120" cy="5878286"/>
            <wp:docPr id="20" name="Picture 20"/>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A.3. </w:t>
      </w:r>
      <w:r>
        <w:rPr>
          <w:rFonts w:ascii="Calibri" w:hAnsi="Calibri"/>
          <w:i/>
          <w:color w:val="4B5563"/>
          <w:sz w:val="18"/>
        </w:rPr>
        <w:t>Render de alta resolución del prototipo oficial en entorno de estudio comercial: visualización de la pantalla de 10.1 pulgadas con menú interactivo HMI, vitrina iluminada por LEDs verticales y paredes lisas sin costuras visibles.</w:t>
      </w:r>
    </w:p>
    <w:p>
      <w:pPr>
        <w:jc w:val="center"/>
      </w:pPr>
      <w:r>
        <w:drawing>
          <wp:inline xmlns:a="http://schemas.openxmlformats.org/drawingml/2006/main" xmlns:pic="http://schemas.openxmlformats.org/drawingml/2006/picture">
            <wp:extent cx="2903627" cy="3840480"/>
            <wp:docPr id="21" name="Picture 21"/>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31"/>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A.4. </w:t>
      </w:r>
      <w:r>
        <w:rPr>
          <w:rFonts w:ascii="Calibri" w:hAnsi="Calibri"/>
          <w:i/>
          <w:color w:val="4B5563"/>
          <w:sz w:val="18"/>
        </w:rPr>
        <w:t>Vista isométrica posterior del gemelo digital en Autodesk Fusion 360: matriz de 36 motorreductores planetarios de 24V DC alineados a las 6 bandejas mixtas y compartimento frigorífico inferior.</w:t>
      </w:r>
    </w:p>
    <w:p>
      <w:pPr>
        <w:jc w:val="center"/>
      </w:pPr>
      <w:r>
        <w:drawing>
          <wp:inline xmlns:a="http://schemas.openxmlformats.org/drawingml/2006/main" xmlns:pic="http://schemas.openxmlformats.org/drawingml/2006/picture">
            <wp:extent cx="4572000" cy="3148965"/>
            <wp:docPr id="22" name="Picture 22"/>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572000" cy="3148965"/>
                    </a:xfrm>
                    <a:prstGeom prst="rect"/>
                  </pic:spPr>
                </pic:pic>
              </a:graphicData>
            </a:graphic>
          </wp:inline>
        </w:drawing>
      </w:r>
    </w:p>
    <w:p>
      <w:pPr>
        <w:spacing w:before="60" w:after="160" w:line="276" w:lineRule="auto"/>
        <w:jc w:val="center"/>
      </w:pPr>
      <w:r>
        <w:rPr>
          <w:rFonts w:ascii="Calibri" w:hAnsi="Calibri"/>
          <w:b/>
          <w:color w:val="0F2C59"/>
          <w:sz w:val="18"/>
        </w:rPr>
        <w:t xml:space="preserve">Figura A.5. </w:t>
      </w:r>
      <w:r>
        <w:rPr>
          <w:rFonts w:ascii="Calibri" w:hAnsi="Calibri"/>
          <w:i/>
          <w:color w:val="4B5563"/>
          <w:sz w:val="18"/>
        </w:rPr>
        <w:t>Diagrama de ruteo y ensamble PCB de doble capa en EasyEDA (120 × 100 mm, cobre 1 oz, pistas de potencia de 3.50 mm según norma IPC-2221B para matriz MOSFET 6×6).</w:t>
      </w:r>
    </w:p>
    <w:p>
      <w:pPr>
        <w:keepNext/>
        <w:spacing w:before="260" w:after="80"/>
        <w:pBdr>
          <w:bottom w:val="single" w:sz="6" w:space="2" w:color="1E40AF"/>
        </w:pBdr>
      </w:pPr>
      <w:r>
        <w:rPr>
          <w:rFonts w:ascii="Calibri" w:hAnsi="Calibri"/>
          <w:b/>
          <w:color w:val="1E40AF"/>
          <w:sz w:val="24"/>
        </w:rPr>
        <w:t>Anexo B: Códigos de Programación y Archivos de Simulación (ESP32 FreeRTOS / Wokwi / Fusion 360)</w:t>
      </w:r>
    </w:p>
    <w:p>
      <w:pPr>
        <w:spacing w:line="276" w:lineRule="auto" w:before="0" w:after="80"/>
        <w:jc w:val="both"/>
      </w:pPr>
      <w:r>
        <w:rPr>
          <w:rFonts w:ascii="Calibri" w:hAnsi="Calibri"/>
          <w:color w:val="1F2937"/>
          <w:sz w:val="20"/>
        </w:rPr>
        <w:t>La Tabla B.1 documenta la estructura modular de los archivos de código fuente e ingeniería de software desarrollados y alojados en el repositorio oficial del proyecto:</w:t>
      </w:r>
    </w:p>
    <w:p>
      <w:pPr>
        <w:spacing w:before="60" w:after="160" w:line="276" w:lineRule="auto"/>
        <w:jc w:val="center"/>
      </w:pPr>
      <w:r>
        <w:rPr>
          <w:rFonts w:ascii="Calibri" w:hAnsi="Calibri"/>
          <w:b/>
          <w:color w:val="0F2C59"/>
          <w:sz w:val="18"/>
        </w:rPr>
        <w:t xml:space="preserve">Tabla B.1: Arquitectura de archivos de código fuente, scripts paramétricos CAD y simulación Wokwi. </w:t>
      </w:r>
      <w:r>
        <w:rPr>
          <w:rFonts w:ascii="Calibri" w:hAnsi="Calibri"/>
          <w:i/>
          <w:color w:val="4B5563"/>
          <w:sz w:val="18"/>
        </w:rPr>
        <w:t>B.1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Archivo / Módulo de Software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Lenguaje / Entorno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Gobernado</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Funcional de las Rutinas Principales</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main_esp32_freertos.cpp</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 PlatformIO (ESP-IDF)</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Controlador ESP32 Dual-Core</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Implementa la FSM de 7 estados, afinidad de núcleos (`xTaskCreatePinnedToCore`), lectura de 6 sondas DS18B20, reloj RTC DS3231 (bloqueo a 840 min) y disparo de matriz MOSFET 6×6.</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diagram.json / wokwi.toml</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JSON Declarativo / Wokwi</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Banco de Simulación Virtual</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Define la topología física del circuito embebido: ESP32, expansor I2C MCP23017, etapas optoaisladas PC817C, arreglo de 36 motores DC, microrruptores de 360° y cortina IR de 38 kHz.</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fifo_multislot_engine.js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JavaScript ES6 / Node.js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Kiosco 10.1" y Portal Admin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algoritmo de selección ordinal j*(t) = min{j | n_j(t) &gt; 0}, agrupando bahías de comida preparada (ej. A1+A6) y conmutando en &lt; 49 ms.</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Proyecto_XpendeX_Fusion360.py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Python API (Autodesk Fusion)</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Gemelo Digital CAD 3D</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 paramétricamente los 127 sólidos B-Rep: bastidor PTR Cal. 14, paredes lisas Cal. 18, 6 bandejas 1+4+1, resortes circulares Ø 144 y Ø 70 mm, recipientes cuadrados de 3 divisiones y compuerta.</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CÓDIGO FUENTE EMBEBIDO DE TIEMPO REAL (NÚCLEO 1 ESP32)</w:t>
              <w:br/>
            </w:r>
            <w:r>
              <w:rPr>
                <w:rFonts w:ascii="Calibri" w:hAnsi="Calibri"/>
                <w:i/>
                <w:color w:val="1F2937"/>
                <w:sz w:val="19"/>
              </w:rPr>
              <w:t>Extracto de Rutina de Despacho Matricial 6×6 y Verificación Óptica en FreeRTOS (C++):</w:t>
              <w:br/>
              <w:t>void dispenseChannel(uint8_t row, uint8_t col) {</w:t>
              <w:br/>
              <w:t xml:space="preserve">    if (rtcMinutesElapsed() &gt;= 840 || readCabinTempC() &gt; 4.4f) { triggerHealthLockout(); return; }</w:t>
              <w:br/>
              <w:t xml:space="preserve">    digitalWrite(ROW_PMOS_PIN[row], LOW);   // Activa High-Side IRF9540N (+24V DC)</w:t>
              <w:br/>
              <w:t xml:space="preserve">    digitalWrite(COL_NMOS_PIN[col], HIGH);  // Activa Low-Side IRLZ44N (GND_PWR)</w:t>
              <w:br/>
              <w:t xml:space="preserve">    waitForCam360Switch(2400);              // Giro 360° de motorreductor planetario 24V DC</w:t>
              <w:br/>
              <w:t xml:space="preserve">    applyDynamicBraking(row, col, 50);      // Frenado en 50 ms con leva Omron D3V-16</w:t>
              <w:br/>
              <w:t xml:space="preserve">    if (confirmOpticalCurtain38kHz(1500)) { decrementStockFIFO(row, col); }</w:t>
              <w:br/>
              <w:t>}</w:t>
            </w:r>
          </w:p>
        </w:tc>
      </w:tr>
    </w:tbl>
    <w:p>
      <w:pPr>
        <w:keepNext/>
        <w:spacing w:before="260" w:after="80"/>
        <w:pBdr>
          <w:bottom w:val="single" w:sz="6" w:space="2" w:color="1E40AF"/>
        </w:pBdr>
      </w:pPr>
      <w:r>
        <w:rPr>
          <w:rFonts w:ascii="Calibri" w:hAnsi="Calibri"/>
          <w:b/>
          <w:color w:val="1E40AF"/>
          <w:sz w:val="24"/>
        </w:rPr>
        <w:t>Anexo C: Síntesis de Hojas de Datos Técnicas (Datasheets de Componentes Críticos)</w:t>
      </w:r>
    </w:p>
    <w:p>
      <w:pPr>
        <w:spacing w:before="60" w:after="160" w:line="276" w:lineRule="auto"/>
        <w:jc w:val="center"/>
      </w:pPr>
      <w:r>
        <w:rPr>
          <w:rFonts w:ascii="Calibri" w:hAnsi="Calibri"/>
          <w:b/>
          <w:color w:val="0F2C59"/>
          <w:sz w:val="18"/>
        </w:rPr>
        <w:t xml:space="preserve">Tabla C.1: Compendio técnico de hojas de datos (Datasheets) de los dispositivos mecatrónicos seleccionados. </w:t>
      </w:r>
      <w:r>
        <w:rPr>
          <w:rFonts w:ascii="Calibri" w:hAnsi="Calibri"/>
          <w:i/>
          <w:color w:val="4B5563"/>
          <w:sz w:val="18"/>
        </w:rPr>
        <w:t>C.1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Modelo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w:t>
            </w:r>
          </w:p>
        </w:tc>
        <w:tc>
          <w:tcPr>
            <w:tcW w:type="dxa" w:w="35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 / Mecánicos Nominales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Límites Máximos / Certificación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Motorreductor Planetario 24V DC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JGA25-370 / Industrial</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V_nom = 24.0 V DC, N = 60 RPM (1:50), I_nom = 0.35–0.42 A, T_nom = 1.80 N·m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I_arranque = 1.50 A, Engranajes metálicos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Compresor Hermético 1/5 HP R134a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(Nidec)</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 V AC / 60 Hz, Q_frigo = 485 W (HBP), Consumo = 236.8 W, COP = 2.05</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Refrigerante R134a (ODP=0), UL / NOM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N Nivel Lógico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IRLZ44NPBF</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55 V, I_D = 47 A, R_DS(on) = 0.022 Ω @ V_GS = 5.0 V, V_GS(th) = 1.0–2.0 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P de Potencia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IRF9540NPBF</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 V, I_D = -23 A, R_DS(on) = 0.117 Ω @ V_GS = -10 V</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Fototransistor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Lite-On PC817C</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V_F = 1.15 V @ I_F = 10 mA, CTR = 200%–400%, t_r = 4 µs, t_f = 3 µs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V_iso = 5,000 V RMS (UL 1577)</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Schottky</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1N5822</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 = 40 V, I_F(AV) = 3.0 A, V_F = 0.45 V @ 1.5 A, t_rr &lt; 20 ns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I_FSM = 80 A pico, Encapsulado DO-201AD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Conmutada Industrial</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115/230 V AC, Salida 24.0 V DC @ 14.6 A (350.4 W), Eficiencia =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Protección OVP/OLP/OTP, UL 62368-1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Pantalla Táctil 10.1" + RPi 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 Raspberry Pi</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IPS 10.1" (1280×800 px, 500 nits, capacitivo 10 puntos) + RPi 4B (4 GB RAM)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HDMI/USB, Consumo conjunto 11.5 W</w:t>
            </w:r>
          </w:p>
        </w:tc>
      </w:tr>
    </w:tbl>
    <w:p>
      <w:pPr>
        <w:keepNext/>
        <w:spacing w:before="260" w:after="80"/>
        <w:pBdr>
          <w:bottom w:val="single" w:sz="6" w:space="2" w:color="1E40AF"/>
        </w:pBdr>
      </w:pPr>
      <w:r>
        <w:rPr>
          <w:rFonts w:ascii="Calibri" w:hAnsi="Calibri"/>
          <w:b/>
          <w:color w:val="1E40AF"/>
          <w:sz w:val="24"/>
        </w:rPr>
        <w:t>Anexo D: Desglose de Materiales de Fabricación (BOM) y Equipamiento de Taller Mecánico</w:t>
      </w:r>
    </w:p>
    <w:p>
      <w:pPr>
        <w:spacing w:before="60" w:after="160" w:line="276" w:lineRule="auto"/>
        <w:jc w:val="center"/>
      </w:pPr>
      <w:r>
        <w:rPr>
          <w:rFonts w:ascii="Calibri" w:hAnsi="Calibri"/>
          <w:b/>
          <w:color w:val="0F2C59"/>
          <w:sz w:val="18"/>
        </w:rPr>
        <w:t xml:space="preserve">Tabla D.1: Lista maestra de materiales (BOM) con dimensiones físicas y costos directos en Monterrey, N.L. </w:t>
      </w:r>
      <w:r>
        <w:rPr>
          <w:rFonts w:ascii="Calibri" w:hAnsi="Calibri"/>
          <w:i/>
          <w:color w:val="4B5563"/>
          <w:sz w:val="18"/>
        </w:rPr>
        <w:t>D.1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Subensamble</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Nominales (mm)</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Especificación</w:t>
            </w:r>
          </w:p>
        </w:tc>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Subtotal (MXN)</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E-01..13</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Bastidor Estructural PTR Soldado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ASTM A500</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$6,480.00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L-01..06</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Forro Exterior de Paredes Lisas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880 × 1,830 × 1.21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 18 + Pintura</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$4,940.00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B-01..02</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Mixtas 1+4+1 + Guías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650 × 85 mm (Pestaña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Cal. 18 + Accuride</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Niveles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$6,150.00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P-01..05</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(3 Bisagras) + Compuerta (2 Bis.)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950×1,370 / Comp. 670×240</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Templado Low-E + 5 Bisagras Inox</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Conjunto</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B-03..07</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Ø 144 mm + 24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24V DC 1.8 N·m + Alambre SAE 1065</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M-01..09</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Frigorífica R134a y 6 Toberas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1/5 HP + Plenum 1,350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R134a + Cobre Tipo L + Danfoss KP</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H-03..06</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6×6, Fuente y Cortina IR</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120 × 100 mm FR-4 (Pistas 3.5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350W + MOSFETs + Optos + IR 38kHz</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H-01..02</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Táctil 10.1", RPi 4 y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252 × 168 mm (Área 10.1")</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10.1" IPS + Raspberry Pi 4 + ESP32</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UNITARIO MATERIALES (BOM)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Completo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Listo para Operación Desatendida</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Unidad</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r>
    </w:tbl>
    <w:p>
      <w:pPr>
        <w:keepNext/>
        <w:spacing w:before="260" w:after="80"/>
        <w:pBdr>
          <w:bottom w:val="single" w:sz="6" w:space="2" w:color="1E40AF"/>
        </w:pBdr>
      </w:pPr>
      <w:r>
        <w:rPr>
          <w:rFonts w:ascii="Calibri" w:hAnsi="Calibri"/>
          <w:b/>
          <w:color w:val="1E40AF"/>
          <w:sz w:val="24"/>
        </w:rPr>
        <w:t>Anexo E: Manual de Operación del Usuario y Protocolo de Abastecimiento Diario</w:t>
      </w:r>
    </w:p>
    <w:p>
      <w:pPr>
        <w:spacing w:line="276" w:lineRule="auto" w:before="0" w:after="60"/>
        <w:jc w:val="both"/>
      </w:pPr>
      <w:r>
        <w:rPr>
          <w:rFonts w:ascii="Calibri" w:hAnsi="Calibri"/>
          <w:b/>
          <w:color w:val="1F2937"/>
          <w:sz w:val="20"/>
        </w:rPr>
        <w:t xml:space="preserve">• 1. Operación para el Comensal en el Quiosco Táctil de 10.1 Pulgadas (Tiempo &lt; 35 s): </w:t>
      </w:r>
      <w:r>
        <w:rPr>
          <w:rFonts w:ascii="Calibri" w:hAnsi="Calibri"/>
          <w:color w:val="1F2937"/>
          <w:sz w:val="20"/>
        </w:rPr>
        <w:t>Paso 1: Seleccionar en la pantalla táctil de 10.1" la categoría deseada ('Comidas Caseras $120 MXN', 'Bebidas Frías $25 MXN' o 'Combos del Día') y consultar la tabla nutricional NOM-051.</w:t>
      </w:r>
    </w:p>
    <w:p>
      <w:pPr>
        <w:spacing w:line="276" w:lineRule="auto" w:before="0" w:after="60"/>
        <w:jc w:val="both"/>
      </w:pPr>
      <w:r>
        <w:rPr>
          <w:rFonts w:ascii="Calibri" w:hAnsi="Calibri"/>
          <w:color w:val="1F2937"/>
          <w:sz w:val="20"/>
        </w:rPr>
        <w:t>Paso 2: Escanear con el teléfono celular el código QR dinámico desplegado en pantalla para autorizar el pago digital.</w:t>
      </w:r>
    </w:p>
    <w:p>
      <w:pPr>
        <w:spacing w:line="276" w:lineRule="auto" w:before="0" w:after="60"/>
        <w:jc w:val="both"/>
      </w:pPr>
      <w:r>
        <w:rPr>
          <w:rFonts w:ascii="Calibri" w:hAnsi="Calibri"/>
          <w:color w:val="1F2937"/>
          <w:sz w:val="20"/>
        </w:rPr>
        <w:t>Paso 3: Observar a través de la vitrina iluminada el giro de 360° del resorte circular y la caída del recipiente cuadrado de 3 divisiones o bebida hacia la tolva amortiguada.</w:t>
      </w:r>
    </w:p>
    <w:p>
      <w:pPr>
        <w:spacing w:line="276" w:lineRule="auto" w:before="0" w:after="80"/>
        <w:jc w:val="both"/>
      </w:pPr>
      <w:r>
        <w:rPr>
          <w:rFonts w:ascii="Calibri" w:hAnsi="Calibri"/>
          <w:color w:val="1F2937"/>
          <w:sz w:val="20"/>
        </w:rPr>
        <w:t>Paso 4: Empujar suavemente hacia adentro la compuerta inferior basculante (sostenida por sus 2 bisagras superiores tipo columpio, sin necesidad de manija) y retirar el platillo.</w:t>
      </w:r>
    </w:p>
    <w:p>
      <w:pPr>
        <w:spacing w:line="276" w:lineRule="auto" w:before="0" w:after="60"/>
        <w:jc w:val="both"/>
      </w:pPr>
      <w:r>
        <w:rPr>
          <w:rFonts w:ascii="Calibri" w:hAnsi="Calibri"/>
          <w:b/>
          <w:color w:val="1F2937"/>
          <w:sz w:val="20"/>
        </w:rPr>
        <w:t xml:space="preserve">• 2. Procedimiento Matutino de Recarga Sanitaria para el Operador (07:00 AM): </w:t>
      </w:r>
      <w:r>
        <w:rPr>
          <w:rFonts w:ascii="Calibri" w:hAnsi="Calibri"/>
          <w:color w:val="1F2937"/>
          <w:sz w:val="20"/>
        </w:rPr>
        <w:t>Paso 1: Abrir la cerradura de seguridad lateral derecha y girar la puerta principal sobre sus 3 bisagras industriales izquierdas.</w:t>
      </w:r>
    </w:p>
    <w:p>
      <w:pPr>
        <w:spacing w:line="276" w:lineRule="auto" w:before="0" w:after="60"/>
        <w:jc w:val="both"/>
      </w:pPr>
      <w:r>
        <w:rPr>
          <w:rFonts w:ascii="Calibri" w:hAnsi="Calibri"/>
          <w:color w:val="1F2937"/>
          <w:sz w:val="20"/>
        </w:rPr>
        <w:t>Paso 2: Extraer cada una de las 6 bandejas deslizantes sobre sus correderas telescópicas Accuride y sanitizar la superficie de acero inoxidable AISI 304.</w:t>
      </w:r>
    </w:p>
    <w:p>
      <w:pPr>
        <w:spacing w:line="276" w:lineRule="auto" w:before="0" w:after="60"/>
        <w:jc w:val="both"/>
      </w:pPr>
      <w:r>
        <w:rPr>
          <w:rFonts w:ascii="Calibri" w:hAnsi="Calibri"/>
          <w:color w:val="1F2937"/>
          <w:sz w:val="20"/>
        </w:rPr>
        <w:t>Paso 3: Colocar 5 recipientes cuadrados sellados de 3 divisiones (2 guarniciones y 1 plato fuerte) dentro del resorte circular gigante de Ø 144 mm en cada bahía lateral (190 mm), y 7 bebidas frías dentro del resorte circular de Ø 70 mm en cada uno de los 4 canales centrales.</w:t>
      </w:r>
    </w:p>
    <w:p>
      <w:pPr>
        <w:spacing w:line="276" w:lineRule="auto" w:before="0" w:after="80"/>
        <w:jc w:val="both"/>
      </w:pPr>
      <w:r>
        <w:rPr>
          <w:rFonts w:ascii="Calibri" w:hAnsi="Calibri"/>
          <w:color w:val="1F2937"/>
          <w:sz w:val="20"/>
        </w:rPr>
        <w:t>Paso 4: Confirmar en el panel administrativo de la Raspberry Pi la sincronización del inventario multi-ranura FIFO y el reinicio del contador sanitario de 14 horas (840 minutos) en el reloj RTC.</w:t>
      </w:r>
    </w:p>
    <w:p>
      <w:pPr>
        <w:keepNext/>
        <w:spacing w:before="260" w:after="80"/>
        <w:pBdr>
          <w:bottom w:val="single" w:sz="6" w:space="2" w:color="1E40AF"/>
        </w:pBdr>
      </w:pPr>
      <w:r>
        <w:rPr>
          <w:rFonts w:ascii="Calibri" w:hAnsi="Calibri"/>
          <w:b/>
          <w:color w:val="1E40AF"/>
          <w:sz w:val="24"/>
        </w:rPr>
        <w:t>Anexo F: Formatos Oficiales y Registros Metrológicos de Pruebas (Protocolos P-01 a P-04)</w:t>
      </w:r>
    </w:p>
    <w:p>
      <w:pPr>
        <w:spacing w:before="60" w:after="160" w:line="276" w:lineRule="auto"/>
        <w:jc w:val="center"/>
      </w:pPr>
      <w:r>
        <w:rPr>
          <w:rFonts w:ascii="Calibri" w:hAnsi="Calibri"/>
          <w:b/>
          <w:color w:val="0F2C59"/>
          <w:sz w:val="18"/>
        </w:rPr>
        <w:t xml:space="preserve">Tabla F.1: Registro consolidado de mediciones de validación e incertidumbres expandidas (k = 2). </w:t>
      </w:r>
      <w:r>
        <w:rPr>
          <w:rFonts w:ascii="Calibri" w:hAnsi="Calibri"/>
          <w:i/>
          <w:color w:val="4B5563"/>
          <w:sz w:val="18"/>
        </w:rPr>
        <w:t>F.1</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Folio Prueba</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Registrada</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Mín.</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Máx.</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Media Muestral (n=30)</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Incertidumbre U_95%</w:t>
            </w:r>
          </w:p>
        </w:tc>
        <w:tc>
          <w:tcPr>
            <w:tcW w:type="dxa" w:w="87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REG-T01</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Bandeja F Inferior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2.18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2.51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2.35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0.11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Bandeja A Superior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3.08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3.42 °C</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3.25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0.12 °C</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REG-T03</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Vertical ΔT = T_A - T_F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0.84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0.96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Vigas a 226.81 N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1.34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0.015 mm</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Chapa Plegada 'C'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0.085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0.097 mm</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0.008 mm</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360° Espiral Comida Ø 144 mm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2.39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 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0.018 s</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Nominal Motor 24V DC Comida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0.405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0.435 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0.420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0.009 A</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Electrónico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con Schottky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24.48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24.76 V</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0.14 V</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Control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FIFO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47.8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49.9 ms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0.85 ms</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FORMULACIÓN METROLÓGICA DE PROPAGACIÓN DE INCERTIDUMBRE (GUÍA GUM)</w:t>
              <w:br/>
            </w:r>
            <w:r>
              <w:rPr>
                <w:rFonts w:ascii="Calibri" w:hAnsi="Calibri"/>
                <w:i/>
                <w:color w:val="1F2937"/>
                <w:sz w:val="19"/>
              </w:rPr>
              <w:t>Modelos matemáticos de incertidumbre Tipo A, Tipo B, combinada y expandida aplicados a los protocolos de prueba:</w:t>
              <w:br/>
            </w:r>
          </w:p>
          <w:p>
            <w:pPr>
              <w:keepLines/>
              <w:spacing w:before="40" w:after="40" w:line="276" w:lineRule="auto"/>
            </w:pPr>
            <w:r>
              <w:rPr>
                <w:rFonts w:ascii="Calibri" w:hAnsi="Calibri"/>
                <w:b/>
                <w:color w:val="1E40AF"/>
                <w:sz w:val="19"/>
              </w:rPr>
              <w:t>▶ Paso 1: Estimación de Incertidumbre Tipo A por Evaluación Estadística (GUM / ISO/IEC Guide 98-3)</w:t>
            </w:r>
          </w:p>
          <w:p>
            <w:pPr>
              <w:keepLines/>
              <w:spacing w:before="0" w:after="60" w:line="276" w:lineRule="auto"/>
              <w:jc w:val="both"/>
            </w:pPr>
            <w:r>
              <w:rPr>
                <w:rFonts w:ascii="Calibri" w:hAnsi="Calibri"/>
                <w:color w:val="1F2937"/>
                <w:sz w:val="18"/>
              </w:rPr>
              <w:t>Para cada serie de n = 30 ensayos bajo condiciones repetibles, la desviación estándar de la media muestral se calcula como:</w:t>
            </w:r>
          </w:p>
          <w:p>
            <w:pPr>
              <w:jc w:val="center"/>
              <w:keepLines/>
              <w:spacing w:before="60" w:after="60"/>
            </w:pPr>
            <m:oMathPara>
              <m:oMath>
                <m:sSub>
                  <m:e>
                    <m:r>
                      <m:t>u</m:t>
                    </m:r>
                  </m:e>
                  <m:sub>
                    <m:r>
                      <m:t>A</m:t>
                    </m:r>
                  </m:sub>
                </m:sSub>
                <m:r>
                  <m:t>(</m:t>
                </m:r>
                <m:bar>
                  <m:barPr>
                    <m:pos m:val="top"/>
                  </m:barPr>
                  <m:e>
                    <m:r>
                      <m:t>x</m:t>
                    </m:r>
                  </m:e>
                </m:bar>
                <m:r>
                  <m:t>)=</m:t>
                </m:r>
                <m:f>
                  <m:fPr>
                    <m:type m:val="bar"/>
                  </m:fPr>
                  <m:num>
                    <m:r>
                      <m:t>s</m:t>
                    </m:r>
                  </m:num>
                  <m:den>
                    <m:rad>
                      <m:radPr>
                        <m:degHide m:val="on"/>
                      </m:radPr>
                      <m:deg/>
                      <m:e>
                        <m:r>
                          <m:t>n</m:t>
                        </m:r>
                      </m:e>
                    </m:rad>
                  </m:den>
                </m:f>
                <m:r>
                  <m:t>=</m:t>
                </m:r>
                <m:rad>
                  <m:radPr>
                    <m:degHide m:val="on"/>
                  </m:radPr>
                  <m:deg/>
                  <m:e>
                    <m:f>
                      <m:fPr>
                        <m:type m:val="bar"/>
                      </m:fPr>
                      <m:num>
                        <m:r>
                          <m:t>1</m:t>
                        </m:r>
                      </m:num>
                      <m:den>
                        <m:r>
                          <m:t>n(n−1)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t>u</m:t>
                    </m:r>
                  </m:e>
                  <m:sub>
                    <m:r>
                      <m:t>A</m:t>
                    </m:r>
                  </m:sub>
                </m:sSub>
                <m:r>
                  <m:t>(T)=</m:t>
                </m:r>
                <m:f>
                  <m:fPr>
                    <m:type m:val="bar"/>
                  </m:fPr>
                  <m:num>
                    <m:sSup>
                      <m:e>
                        <m:r>
                          <m:t>0.14</m:t>
                        </m:r>
                      </m:e>
                      <m:sup>
                        <m:r>
                          <m:t>∘</m:t>
                        </m:r>
                      </m:sup>
                    </m:sSup>
                    <m:r>
                      <m:rPr>
                        <m:nor/>
                      </m:rPr>
                      <m:t>C</m:t>
                    </m:r>
                  </m:num>
                  <m:den>
                    <m:rad>
                      <m:radPr>
                        <m:degHide m:val="on"/>
                      </m:radPr>
                      <m:deg/>
                      <m:e>
                        <m:r>
                          <m:t>30</m:t>
                        </m:r>
                      </m:e>
                    </m:rad>
                  </m:den>
                </m:f>
                <m:r>
                  <m:t>=</m:t>
                </m:r>
                <m:sSup>
                  <m:e>
                    <m:r>
                      <m:t>0.0256</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repetibilidad estadística demuestra una dispersión mínima en la temperatura y en el tiempo de ciclo cinemático.</w:t>
            </w:r>
          </w:p>
          <w:p>
            <w:pPr>
              <w:keepLines/>
              <w:spacing w:before="120" w:after="40" w:line="276" w:lineRule="auto"/>
            </w:pPr>
            <w:r>
              <w:rPr>
                <w:rFonts w:ascii="Calibri" w:hAnsi="Calibri"/>
                <w:b/>
                <w:color w:val="1E40AF"/>
                <w:sz w:val="19"/>
              </w:rPr>
              <w:t>▶ Paso 2: Estimación de Incertidumbre Tipo B por Resolución Instrumental y Calibración</w:t>
            </w:r>
          </w:p>
          <w:p>
            <w:pPr>
              <w:keepLines/>
              <w:spacing w:before="0" w:after="60" w:line="276" w:lineRule="auto"/>
              <w:jc w:val="both"/>
            </w:pPr>
            <w:r>
              <w:rPr>
                <w:rFonts w:ascii="Calibri" w:hAnsi="Calibri"/>
                <w:color w:val="1F2937"/>
                <w:sz w:val="18"/>
              </w:rPr>
              <w:t>Asumiendo distribución de probabilidad rectangular para la resolución digital del sensor y del temporizador:</w:t>
            </w:r>
          </w:p>
          <w:p>
            <w:pPr>
              <w:jc w:val="center"/>
              <w:keepLines/>
              <w:spacing w:before="60" w:after="60"/>
            </w:pPr>
            <m:oMathPara>
              <m:oMath>
                <m:sSub>
                  <m:e>
                    <m:r>
                      <m:t>u</m:t>
                    </m:r>
                  </m:e>
                  <m:sub>
                    <m:r>
                      <m:t>B</m:t>
                    </m:r>
                  </m:sub>
                </m:sSub>
                <m:r>
                  <m:t>=</m:t>
                </m:r>
                <m:f>
                  <m:fPr>
                    <m:type m:val="bar"/>
                  </m:fPr>
                  <m:num>
                    <m:r>
                      <m:t>a</m:t>
                    </m:r>
                  </m:num>
                  <m:den>
                    <m:rad>
                      <m:radPr>
                        <m:degHide m:val="on"/>
                      </m:radPr>
                      <m:deg/>
                      <m:e>
                        <m:r>
                          <m:t>3</m:t>
                        </m:r>
                      </m:e>
                    </m:rad>
                  </m:den>
                </m:f>
                <m:r>
                  <m:t>⟶</m:t>
                </m:r>
                <m:sSub>
                  <m:e>
                    <m:r>
                      <m:t>u</m:t>
                    </m:r>
                  </m:e>
                  <m:sub>
                    <m:r>
                      <m:t>B</m:t>
                    </m:r>
                  </m:sub>
                </m:sSub>
                <m:r>
                  <m:t>(</m:t>
                </m:r>
                <m:r>
                  <m:rPr>
                    <m:nor/>
                  </m:rPr>
                  <m:t>DS18B20</m:t>
                </m:r>
                <m:r>
                  <m:t>)=</m:t>
                </m:r>
                <m:f>
                  <m:fPr>
                    <m:type m:val="bar"/>
                  </m:fPr>
                  <m:num>
                    <m:sSup>
                      <m:e>
                        <m:r>
                          <m:t>0.0625</m:t>
                        </m:r>
                      </m:e>
                      <m:sup>
                        <m:r>
                          <m:t>∘</m:t>
                        </m:r>
                      </m:sup>
                    </m:sSup>
                    <m:r>
                      <m:rPr>
                        <m:nor/>
                      </m:rPr>
                      <m:t>C</m:t>
                    </m:r>
                  </m:num>
                  <m:den>
                    <m:rad>
                      <m:radPr>
                        <m:degHide m:val="on"/>
                      </m:radPr>
                      <m:deg/>
                      <m:e>
                        <m:r>
                          <m:t>3</m:t>
                        </m:r>
                      </m:e>
                    </m:rad>
                  </m:den>
                </m:f>
                <m:r>
                  <m:t>=</m:t>
                </m:r>
                <m:sSup>
                  <m:e>
                    <m:r>
                      <m:t>0.0361</m:t>
                    </m:r>
                  </m:e>
                  <m:sup>
                    <m:r>
                      <m:t>∘</m:t>
                    </m:r>
                  </m:sup>
                </m:sSup>
                <m:r>
                  <m:rPr>
                    <m:nor/>
                  </m:rPr>
                  <m:t>C</m:t>
                </m:r>
                <m:r>
                  <m:t>,</m:t>
                </m:r>
                <m:sSub>
                  <m:e>
                    <m:r>
                      <m:t>u</m:t>
                    </m:r>
                  </m:e>
                  <m:sub>
                    <m:r>
                      <m:t>B</m:t>
                    </m:r>
                  </m:sub>
                </m:sSub>
                <m:r>
                  <m:t>(</m:t>
                </m:r>
                <m:r>
                  <m:rPr>
                    <m:nor/>
                  </m:rPr>
                  <m:t>tiempo</m:t>
                </m:r>
                <m:r>
                  <m:t>)=</m:t>
                </m:r>
                <m:f>
                  <m:fPr>
                    <m:type m:val="bar"/>
                  </m:fPr>
                  <m:num>
                    <m:r>
                      <m:t>0.001</m:t>
                    </m:r>
                    <m:r>
                      <m:rPr>
                        <m:nor/>
                      </m:rPr>
                      <m:t> s</m:t>
                    </m:r>
                  </m:num>
                  <m:den>
                    <m:rad>
                      <m:radPr>
                        <m:degHide m:val="on"/>
                      </m:radPr>
                      <m:deg/>
                      <m:e>
                        <m:r>
                          <m:t>3</m:t>
                        </m:r>
                      </m:e>
                    </m:rad>
                  </m:den>
                </m:f>
                <m:r>
                  <m:t>=0.00058</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sistemática está estrictamente delimitada por las tolerancias de los instrumentos de medición.</w:t>
            </w:r>
          </w:p>
          <w:p>
            <w:pPr>
              <w:keepLines/>
              <w:spacing w:before="120" w:after="40" w:line="276" w:lineRule="auto"/>
            </w:pPr>
            <w:r>
              <w:rPr>
                <w:rFonts w:ascii="Calibri" w:hAnsi="Calibri"/>
                <w:b/>
                <w:color w:val="1E40AF"/>
                <w:sz w:val="19"/>
              </w:rPr>
              <w:t>▶ Paso 3: Incertidumbre Combinada e Incertidumbre Expandida al 95.45% de Nivel de Confianza</w:t>
            </w:r>
          </w:p>
          <w:p>
            <w:pPr>
              <w:keepLines/>
              <w:spacing w:before="0" w:after="60" w:line="276" w:lineRule="auto"/>
              <w:jc w:val="both"/>
            </w:pPr>
            <w:r>
              <w:rPr>
                <w:rFonts w:ascii="Calibri" w:hAnsi="Calibri"/>
                <w:color w:val="1F2937"/>
                <w:sz w:val="18"/>
              </w:rPr>
              <w:t>Combinando ambas fuentes en cuadratura y aplicando el factor de cobertura k = 2 (distribución aproximadamente normal):</w:t>
            </w:r>
          </w:p>
          <w:p>
            <w:pPr>
              <w:jc w:val="center"/>
              <w:keepLines/>
              <w:spacing w:before="60" w:after="60"/>
            </w:pPr>
            <m:oMathPara>
              <m:oMath>
                <m:sSub>
                  <m:e>
                    <m:r>
                      <m:t>u</m:t>
                    </m:r>
                  </m:e>
                  <m:sub>
                    <m:r>
                      <m:t>c</m:t>
                    </m:r>
                  </m:sub>
                </m:sSub>
                <m:r>
                  <m:t>=</m:t>
                </m:r>
                <m:rad>
                  <m:radPr>
                    <m:degHide m:val="on"/>
                  </m:radPr>
                  <m:deg/>
                  <m:e>
                    <m:sSubSup>
                      <m:e>
                        <m:r>
                          <m:t>u</m:t>
                        </m:r>
                      </m:e>
                      <m:sub>
                        <m:r>
                          <m:t>A</m:t>
                        </m:r>
                      </m:sub>
                      <m:sup>
                        <m:r>
                          <m:t>2</m:t>
                        </m:r>
                      </m:sup>
                    </m:sSubSup>
                    <m:r>
                      <m:t>+</m:t>
                    </m:r>
                    <m:sSubSup>
                      <m:e>
                        <m:r>
                          <m:t>u</m:t>
                        </m:r>
                      </m:e>
                      <m:sub>
                        <m:r>
                          <m:t>B</m:t>
                        </m:r>
                      </m:sub>
                      <m:sup>
                        <m:r>
                          <m:t>2</m:t>
                        </m:r>
                      </m:sup>
                    </m:sSubSup>
                  </m:e>
                </m:rad>
                <m:r>
                  <m:t>=</m:t>
                </m:r>
                <m:rad>
                  <m:radPr>
                    <m:degHide m:val="on"/>
                  </m:radPr>
                  <m:deg/>
                  <m:e>
                    <m:sSup>
                      <m:e>
                        <m:d>
                          <m:dPr>
                            <m:sepChr m:val=""/>
                          </m:dPr>
                          <m:e>
                            <m:r>
                              <m:t>0.0256</m:t>
                            </m:r>
                            <m:sSup>
                              <m:e>
                                <m:r>
                                  <m:t>)</m:t>
                                </m:r>
                              </m:e>
                              <m:sup>
                                <m:r>
                                  <m:t>2</m:t>
                                </m:r>
                              </m:sup>
                            </m:sSup>
                            <m:r>
                              <m:t>+</m:t>
                            </m:r>
                            <m:r>
                              <m:t>(</m:t>
                            </m:r>
                            <m:r>
                              <m:t>0.0361</m:t>
                            </m:r>
                          </m:e>
                        </m:d>
                      </m:e>
                      <m:sup>
                        <m:r>
                          <m:t>2</m:t>
                        </m:r>
                      </m:sup>
                    </m:sSup>
                  </m:e>
                </m:rad>
                <m:r>
                  <m:t>=</m:t>
                </m:r>
                <m:sSup>
                  <m:e>
                    <m:r>
                      <m:t>0.0442</m:t>
                    </m:r>
                  </m:e>
                  <m:sup>
                    <m:r>
                      <m:t>∘</m:t>
                    </m:r>
                  </m:sup>
                </m:sSup>
                <m:r>
                  <m:rPr>
                    <m:nor/>
                  </m:rPr>
                  <m:t>C</m:t>
                </m:r>
                <m:r>
                  <m:t>⟶</m:t>
                </m:r>
                <m:sSub>
                  <m:e>
                    <m:r>
                      <m:t>U</m:t>
                    </m:r>
                  </m:e>
                  <m:sub>
                    <m:r>
                      <m:t>95</m:t>
                    </m:r>
                    <m:r>
                      <m:rPr>
                        <m:nor/>
                      </m:rPr>
                      <m:t>\%</m:t>
                    </m:r>
                  </m:sub>
                </m:sSub>
                <m:r>
                  <m:t>=2·</m:t>
                </m:r>
                <m:sSub>
                  <m:e>
                    <m:r>
                      <m:t>u</m:t>
                    </m:r>
                  </m:e>
                  <m:sub>
                    <m:r>
                      <m:t>c</m:t>
                    </m:r>
                  </m:sub>
                </m:sSub>
                <m:r>
                  <m:t>=±</m:t>
                </m:r>
                <m:sSup>
                  <m:e>
                    <m:r>
                      <m:t>0.0885</m:t>
                    </m:r>
                  </m:e>
                  <m:sup>
                    <m:r>
                      <m:t>∘</m:t>
                    </m:r>
                  </m:sup>
                </m:sSup>
                <m:r>
                  <m:rPr>
                    <m:nor/>
                  </m:rPr>
                  <m:t>C</m:t>
                </m:r>
                <m:r>
                  <m:t>≈±</m:t>
                </m:r>
                <m:sSup>
                  <m:e>
                    <m:r>
                      <m:t>0.09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intervalo de confianza confirma que las lecturas térmicas y mecánicas son metrológicamente sólidas y auditables.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mediciones de validación satisfacen los requerimientos con una incertidumbre expandida inferior al 3.5% de la tolerancia admisible.</w:t>
            </w:r>
          </w:p>
        </w:tc>
      </w:tr>
    </w:tbl>
    <w:p>
      <w:pPr>
        <w:spacing w:before="0" w:after="80"/>
      </w:pPr>
    </w:p>
    <w:p>
      <w:pPr>
        <w:keepNext/>
        <w:spacing w:before="260" w:after="80"/>
        <w:pBdr>
          <w:bottom w:val="single" w:sz="6" w:space="2" w:color="1E40AF"/>
        </w:pBdr>
      </w:pPr>
      <w:r>
        <w:rPr>
          <w:rFonts w:ascii="Calibri" w:hAnsi="Calibri"/>
          <w:b/>
          <w:color w:val="1E40AF"/>
          <w:sz w:val="24"/>
        </w:rPr>
        <w:t>Anexo G: Galería de Evidencias Visuales del Prototipo, Interfaz y Simulación</w:t>
      </w:r>
    </w:p>
    <w:p>
      <w:pPr>
        <w:jc w:val="center"/>
      </w:pPr>
      <w:r>
        <w:drawing>
          <wp:inline xmlns:a="http://schemas.openxmlformats.org/drawingml/2006/main" xmlns:pic="http://schemas.openxmlformats.org/drawingml/2006/picture">
            <wp:extent cx="4206240" cy="5633357"/>
            <wp:docPr id="23" name="Picture 2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G.1. </w:t>
      </w:r>
      <w:r>
        <w:rPr>
          <w:rFonts w:ascii="Calibri" w:hAnsi="Calibri"/>
          <w:i/>
          <w:color w:val="4B5563"/>
          <w:sz w:val="18"/>
        </w:rPr>
        <w:t>Evidencia visual del diseño definitivo Expendex mostrando la vitrina panorámica con 5 charolas cargadas de comidas en recipientes cuadrados de 3 divisiones y bebidas frías, pantalla táctil de 10.1", 3 bisagras en puerta y compuerta tipo columpio con 2 bisagras superiores.</w:t>
      </w:r>
    </w:p>
    <w:p>
      <w:pPr>
        <w:jc w:val="center"/>
      </w:pPr>
      <w:r>
        <w:drawing>
          <wp:inline xmlns:a="http://schemas.openxmlformats.org/drawingml/2006/main" xmlns:pic="http://schemas.openxmlformats.org/drawingml/2006/picture">
            <wp:extent cx="4754880" cy="2916959"/>
            <wp:docPr id="24" name="Picture 2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G.2. </w:t>
      </w:r>
      <w:r>
        <w:rPr>
          <w:rFonts w:ascii="Calibri" w:hAnsi="Calibri"/>
          <w:i/>
          <w:color w:val="4B5563"/>
          <w:sz w:val="18"/>
        </w:rPr>
        <w:t>Evidencia de simulación del firmware ESP32 FreeRTOS en Visual Studio Code con Wokwi (Paso 1/2): conmutación en la matriz de 36 LEDs del canal M-A6 para el platillo fuerte, con el compresor activo a 3.4 °C.</w:t>
      </w:r>
    </w:p>
    <w:p>
      <w:pPr>
        <w:jc w:val="center"/>
      </w:pPr>
      <w:r>
        <w:drawing>
          <wp:inline xmlns:a="http://schemas.openxmlformats.org/drawingml/2006/main" xmlns:pic="http://schemas.openxmlformats.org/drawingml/2006/picture">
            <wp:extent cx="4754880" cy="2808332"/>
            <wp:docPr id="25" name="Picture 2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G.3. </w:t>
      </w:r>
      <w:r>
        <w:rPr>
          <w:rFonts w:ascii="Calibri" w:hAnsi="Calibri"/>
          <w:i/>
          <w:color w:val="4B5563"/>
          <w:sz w:val="18"/>
        </w:rPr>
        <w:t>Evidencia de simulación del firmware ESP32 FreeRTOS en Visual Studio Code con Wokwi (Paso 2/2): conmutación secuencial en la matriz de 36 LEDs del canal M-C2 para la bebida fría tras la confirmación óptica del sensor IR.</w:t>
      </w:r>
    </w:p>
    <w:p>
      <w:pPr>
        <w:jc w:val="center"/>
      </w:pPr>
      <w:r>
        <w:drawing>
          <wp:inline xmlns:a="http://schemas.openxmlformats.org/drawingml/2006/main" xmlns:pic="http://schemas.openxmlformats.org/drawingml/2006/picture">
            <wp:extent cx="3840480" cy="6747962"/>
            <wp:docPr id="26" name="Picture 26"/>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G.4. </w:t>
      </w:r>
      <w:r>
        <w:rPr>
          <w:rFonts w:ascii="Calibri" w:hAnsi="Calibri"/>
          <w:i/>
          <w:color w:val="4B5563"/>
          <w:sz w:val="18"/>
        </w:rPr>
        <w:t>Evidencia de la interfaz gráfica del quiosco táctil de 10.1 pulgadas: ventana modal de cobro digital con código QR dinámico de Mercado Pago para Combo 2 en casillas A6 + C2 y opciones de pago móvil.</w:t>
      </w:r>
    </w:p>
    <w:p>
      <w:pPr>
        <w:jc w:val="center"/>
      </w:pPr>
      <w:r>
        <w:drawing>
          <wp:inline xmlns:a="http://schemas.openxmlformats.org/drawingml/2006/main" xmlns:pic="http://schemas.openxmlformats.org/drawingml/2006/picture">
            <wp:extent cx="4754880" cy="2205633"/>
            <wp:docPr id="27" name="Picture 27"/>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754880" cy="2205633"/>
                    </a:xfrm>
                    <a:prstGeom prst="rect"/>
                  </pic:spPr>
                </pic:pic>
              </a:graphicData>
            </a:graphic>
          </wp:inline>
        </w:drawing>
      </w:r>
    </w:p>
    <w:p>
      <w:pPr>
        <w:spacing w:before="60" w:after="160" w:line="276" w:lineRule="auto"/>
        <w:jc w:val="center"/>
      </w:pPr>
      <w:r>
        <w:rPr>
          <w:rFonts w:ascii="Calibri" w:hAnsi="Calibri"/>
          <w:b/>
          <w:color w:val="0F2C59"/>
          <w:sz w:val="18"/>
        </w:rPr>
        <w:t xml:space="preserve">Figura G.5. </w:t>
      </w:r>
      <w:r>
        <w:rPr>
          <w:rFonts w:ascii="Calibri" w:hAnsi="Calibri"/>
          <w:i/>
          <w:color w:val="4B5563"/>
          <w:sz w:val="18"/>
        </w:rPr>
        <w:t>Evidencia del portal administrativo web y supervisor financiero: registro de 60 días continuos con $318,505.00 MXN en ingresos brutos, $177,032.50 MXN de ganancia neta, 4,334 unidades vendidas y telemetría a 3.4 °C.</w:t>
      </w:r>
    </w:p>
    <w:p>
      <w:pPr>
        <w:jc w:val="center"/>
      </w:pPr>
      <w:r>
        <w:drawing>
          <wp:inline xmlns:a="http://schemas.openxmlformats.org/drawingml/2006/main" xmlns:pic="http://schemas.openxmlformats.org/drawingml/2006/picture">
            <wp:extent cx="4754880" cy="2066330"/>
            <wp:docPr id="28" name="Picture 28"/>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33"/>
                    <a:stretch>
                      <a:fillRect/>
                    </a:stretch>
                  </pic:blipFill>
                  <pic:spPr>
                    <a:xfrm>
                      <a:off x="0" y="0"/>
                      <a:ext cx="4754880" cy="2066330"/>
                    </a:xfrm>
                    <a:prstGeom prst="rect"/>
                  </pic:spPr>
                </pic:pic>
              </a:graphicData>
            </a:graphic>
          </wp:inline>
        </w:drawing>
      </w:r>
    </w:p>
    <w:p>
      <w:pPr>
        <w:spacing w:before="60" w:after="160" w:line="276" w:lineRule="auto"/>
        <w:jc w:val="center"/>
      </w:pPr>
      <w:r>
        <w:rPr>
          <w:rFonts w:ascii="Calibri" w:hAnsi="Calibri"/>
          <w:b/>
          <w:color w:val="0F2C59"/>
          <w:sz w:val="18"/>
        </w:rPr>
        <w:t xml:space="preserve">Figura G.6. </w:t>
      </w:r>
      <w:r>
        <w:rPr>
          <w:rFonts w:ascii="Calibri" w:hAnsi="Calibri"/>
          <w:i/>
          <w:color w:val="4B5563"/>
          <w:sz w:val="18"/>
        </w:rPr>
        <w:t>Evidencia del módulo de métricas de rotación en el panel administrativo: Top 10 productos más vendidos frente a productos de baja rotación para la optimización de compras y recarga matutina.</w:t>
      </w:r>
    </w:p>
    <w:p>
      <w:pPr>
        <w:keepNext/>
        <w:spacing w:before="260" w:after="80"/>
        <w:pBdr>
          <w:bottom w:val="single" w:sz="6" w:space="2" w:color="1E40AF"/>
        </w:pBdr>
      </w:pPr>
      <w:r>
        <w:rPr>
          <w:rFonts w:ascii="Calibri" w:hAnsi="Calibri"/>
          <w:b/>
          <w:color w:val="1E40AF"/>
          <w:sz w:val="24"/>
        </w:rPr>
        <w:t>Anexo H: Bitácora Trazable de Modificaciones y Optimizaciones de Ingeniería</w:t>
      </w:r>
    </w:p>
    <w:p>
      <w:pPr>
        <w:spacing w:before="60" w:after="160" w:line="276" w:lineRule="auto"/>
        <w:jc w:val="center"/>
      </w:pPr>
      <w:r>
        <w:rPr>
          <w:rFonts w:ascii="Calibri" w:hAnsi="Calibri"/>
          <w:b/>
          <w:color w:val="0F2C59"/>
          <w:sz w:val="18"/>
        </w:rPr>
        <w:t xml:space="preserve">Tabla H.1: Bitácora técnica de optimizaciones de ingeniería aplicadas al diseño definitivo. </w:t>
      </w:r>
      <w:r>
        <w:rPr>
          <w:rFonts w:ascii="Calibri" w:hAnsi="Calibri"/>
          <w:i/>
          <w:color w:val="4B5563"/>
          <w:sz w:val="18"/>
        </w:rPr>
        <w:t>H.1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Ajuste</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Técnica Detectada</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Optimización de Ingeniería Implementada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Cuantitativo Verificado</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OPT-01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Bahías Comida 190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Holgura lateral de envase cuadrado de 3 divisiones</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Ajuste de guías laterales AISI 304 a 180 mm con resorte circular único centrado de Ø 144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Eliminación de cabeceo angular; 100% de despachos sin atasco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Canales Bebidas 95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Simplificación de tracción mecánica en carriles centrales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Empleo de un único resorte circular de Ø 70 mm por canal accionado por motorreductor 24V DC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Factor de seguridad de empuje FS = 7.32 y reducción de masa</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y Compuerta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Distribución de par en puerta y ergonomía de recogida</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Adición de bisagra central en puerta (3 bisagras totales) y compuerta inferior sin manija con 2 bisagras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hermética perfecta y apertura suave tipo columpio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Frigorífico</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presión estática hacia el nivel superior A</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Escalado progresivo de áreas de las 6 toberas de 28.0 cm² a 36.0 cm²</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Reducción del gradiente térmico vertical a ΔT = 0.90 °C</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MOSFET 6×6</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al corte de bobinas de 24V DC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36 diodos Schottky 1N5822 + snubber RC + tierra estrella y optos 5 kV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Enclavamiento de pico en 24.62 V y rizado lógico &lt; 8 mV</w:t>
            </w:r>
          </w:p>
        </w:tc>
      </w:tr>
    </w:tbl>
    <w:p>
      <w:pPr>
        <w:keepNext/>
        <w:spacing w:before="260" w:after="80"/>
        <w:pBdr>
          <w:bottom w:val="single" w:sz="6" w:space="2" w:color="1E40AF"/>
        </w:pBdr>
      </w:pPr>
      <w:r>
        <w:rPr>
          <w:rFonts w:ascii="Calibri" w:hAnsi="Calibri"/>
          <w:b/>
          <w:color w:val="1E40AF"/>
          <w:sz w:val="24"/>
        </w:rPr>
        <w:t>Anexo I: Hoja de Ruta de Manufactura, Órdenes de Construcción y Pasos de Fabricación del Prototipo Físico (WO-01 a WO-08)</w:t>
      </w:r>
    </w:p>
    <w:p>
      <w:pPr>
        <w:spacing w:line="276" w:lineRule="auto" w:before="0" w:after="80"/>
        <w:jc w:val="both"/>
      </w:pPr>
      <w:r>
        <w:rPr>
          <w:rFonts w:ascii="Calibri" w:hAnsi="Calibri"/>
          <w:color w:val="1F2937"/>
          <w:sz w:val="20"/>
        </w:rPr>
        <w:t>Este anexo constituye la guía maestra de taller y manual técnico de manufactura para la materialización física del prototipo ExpendeX. Define ocho Órdenes de Trabajo (Work Orders WO-01 a WO-08) estructuradas cronológicamente, detallando para cada subsistema los insumos comerciales requeridos, la maquinaria empleada, los pasos secuenciales de habilitado y ensamble, las tolerancias dimensionales admisibles y los criterios de inspección de calidad (QC), acompañados de sus respectivas evidencias visuales y diagramas de ingeniería:</w:t>
      </w:r>
    </w:p>
    <w:p>
      <w:pPr>
        <w:keepNext/>
        <w:spacing w:before="180" w:after="60"/>
      </w:pPr>
      <w:r>
        <w:rPr>
          <w:rFonts w:ascii="Calibri" w:hAnsi="Calibri"/>
          <w:b/>
          <w:color w:val="B45309"/>
          <w:sz w:val="21"/>
        </w:rPr>
        <w:t>Orden de Trabajo WO-01: Estructura Principal PTR, Bancada y Paredes Exteriores Lisas</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WO-01: Chasis Mecánico Estructural y Cerramientos Lisos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Vertical de 950 × 880 × 1,830 mm (+100 mm ruedas = 1,930 mm total)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Perfil PTR 1-1/2 Pulg × 1-1/2 Pulg Cal. 14, Canal C 100 mm Cal. 14, Lámina Cold Rolled Cal. 18 (1.21 mm) [Aceroplaza MTY]</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Tronzadora abrasiva 14 Pulg, escuadras magnéticas 90°, soldadora MIG/GMAW 200A (ER70S-6, gas mezcla Ar/CO2 75/25), esmeril angular 4-1/2 Pulg</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Ortogonalidad diagonal ± 1.0 mm, planicidad en caras laterales ± 0.5 mm, cordones de soldadura continuos 3.0 mm</w:t>
            </w:r>
          </w:p>
        </w:tc>
      </w:tr>
    </w:tbl>
    <w:p>
      <w:pPr>
        <w:spacing w:line="276" w:lineRule="auto" w:before="0" w:after="60"/>
        <w:jc w:val="both"/>
      </w:pPr>
      <w:r>
        <w:rPr>
          <w:rFonts w:ascii="Calibri" w:hAnsi="Calibri"/>
          <w:b/>
          <w:color w:val="1F2937"/>
          <w:sz w:val="20"/>
        </w:rPr>
        <w:t xml:space="preserve">Procedimiento Operativo de Taller (WO-01): </w:t>
      </w:r>
      <w:r>
        <w:rPr>
          <w:rFonts w:ascii="Calibri" w:hAnsi="Calibri"/>
          <w:color w:val="1F2937"/>
          <w:sz w:val="20"/>
        </w:rPr>
        <w:t>Pasos de Construcción Secuencial (WO-01):</w:t>
      </w:r>
    </w:p>
    <w:p>
      <w:pPr>
        <w:spacing w:line="276" w:lineRule="auto" w:before="0" w:after="60"/>
        <w:jc w:val="both"/>
      </w:pPr>
      <w:r>
        <w:rPr>
          <w:rFonts w:ascii="Calibri" w:hAnsi="Calibri"/>
          <w:color w:val="1F2937"/>
          <w:sz w:val="20"/>
        </w:rPr>
        <w:t>• Paso 1.1 (Corte y Habilitado): Realizar el corte a inglete de 45° de los 4 parantes verticales de PTR 1-1/2 Pulg (L = 1,830 mm) y los 8 travesaños perimetrales horizontales (4 de 950 mm para ancho frontal y 4 de 880 mm para profundidad lateral) en tronzadora de disco de 14 Pulg. Desbarbar aristas vivas con disco laminado de lija grano 80.</w:t>
      </w:r>
    </w:p>
    <w:p>
      <w:pPr>
        <w:spacing w:line="276" w:lineRule="auto" w:before="0" w:after="60"/>
        <w:jc w:val="both"/>
      </w:pPr>
      <w:r>
        <w:rPr>
          <w:rFonts w:ascii="Calibri" w:hAnsi="Calibri"/>
          <w:color w:val="1F2937"/>
          <w:sz w:val="20"/>
        </w:rPr>
        <w:t>• Paso 1.2 (Armado y Soldadura del Bastidor): Emplantillar los perfiles sobre mesa de soldadura rectificada utilizando escuadras magnéticas de precisión de 90°. Puntear los 8 vértices y verificar escuadra diagonal (tolerancia máxima de diferencia entre diagonales: 1.0 mm). Aplicar cordones de soldadura corrida GMAW/MIG con microalambre cobrizado ER70S-6 de 0.035 Pulg bajo gas de protección C25 (75% Argón, 25% CO2) a 18.5 V y 140 A.</w:t>
      </w:r>
    </w:p>
    <w:p>
      <w:pPr>
        <w:spacing w:line="276" w:lineRule="auto" w:before="0" w:after="60"/>
        <w:jc w:val="both"/>
      </w:pPr>
      <w:r>
        <w:rPr>
          <w:rFonts w:ascii="Calibri" w:hAnsi="Calibri"/>
          <w:color w:val="1F2937"/>
          <w:sz w:val="20"/>
        </w:rPr>
        <w:t>• Paso 1.3 (Bancada Inferior de Máquinas): Soldar dos travesaños de perfil canal C estructural de 100 mm Cal. 14 a una cota de Z = 85 mm a 460 mm del suelo para alojar la sala de refrigeración inferior.</w:t>
      </w:r>
    </w:p>
    <w:p>
      <w:pPr>
        <w:spacing w:line="276" w:lineRule="auto" w:before="0" w:after="60"/>
        <w:jc w:val="both"/>
      </w:pPr>
      <w:r>
        <w:rPr>
          <w:rFonts w:ascii="Calibri" w:hAnsi="Calibri"/>
          <w:color w:val="1F2937"/>
          <w:sz w:val="20"/>
        </w:rPr>
        <w:t>• Paso 1.4 (Paredes Exteriores Lisas): Habilitar los paneles de forro exterior en lámina de acero cold rolled Calibre 18 (1.21 mm). Soldar por puntos de tapón (plug welds) desde el interior del gabinete cada 150 mm y esmerilar enrasado al 100% en las caras exteriores. Garantizar que ambas paredes laterales (izquierda y derecha) queden perfectamente planas y lisas, sin nervaduras salientes ni perfiles visibles.</w:t>
      </w:r>
    </w:p>
    <w:p>
      <w:pPr>
        <w:spacing w:line="276" w:lineRule="auto" w:before="0" w:after="80"/>
        <w:jc w:val="both"/>
      </w:pPr>
      <w:r>
        <w:rPr>
          <w:rFonts w:ascii="Calibri" w:hAnsi="Calibri"/>
          <w:color w:val="1F2937"/>
          <w:sz w:val="20"/>
        </w:rPr>
        <w:t>• Paso 1.5 (Tratamiento Superficial): Desengrasar con solvente fosfatizante, aplicar imprimación anticorrosiva epóxica y recubrimiento con pintura electrostática en polvo (powder coating) horneada a 200 °C en acabado gris grafito oscuro texturizado mate (#272C34).</w:t>
      </w:r>
    </w:p>
    <w:p>
      <w:pPr>
        <w:jc w:val="center"/>
      </w:pPr>
      <w:r>
        <w:drawing>
          <wp:inline xmlns:a="http://schemas.openxmlformats.org/drawingml/2006/main" xmlns:pic="http://schemas.openxmlformats.org/drawingml/2006/picture">
            <wp:extent cx="4206240" cy="5633357"/>
            <wp:docPr id="29" name="Picture 29"/>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I.1. </w:t>
      </w:r>
      <w:r>
        <w:rPr>
          <w:rFonts w:ascii="Calibri" w:hAnsi="Calibri"/>
          <w:i/>
          <w:color w:val="4B5563"/>
          <w:sz w:val="18"/>
        </w:rPr>
        <w:t>Gabinete estructural terminado conforme a WO-01 mostrando paredes laterales completamente lisas, techo plano a 90° y rejilla inferior de ventilación.</w:t>
      </w:r>
    </w:p>
    <w:p>
      <w:pPr>
        <w:jc w:val="center"/>
      </w:pPr>
      <w:r>
        <w:drawing>
          <wp:inline xmlns:a="http://schemas.openxmlformats.org/drawingml/2006/main" xmlns:pic="http://schemas.openxmlformats.org/drawingml/2006/picture">
            <wp:extent cx="4389120" cy="5482028"/>
            <wp:docPr id="30" name="Picture 3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34"/>
                    <a:stretch>
                      <a:fillRect/>
                    </a:stretch>
                  </pic:blipFill>
                  <pic:spPr>
                    <a:xfrm>
                      <a:off x="0" y="0"/>
                      <a:ext cx="4389120" cy="5482028"/>
                    </a:xfrm>
                    <a:prstGeom prst="rect"/>
                  </pic:spPr>
                </pic:pic>
              </a:graphicData>
            </a:graphic>
          </wp:inline>
        </w:drawing>
      </w:r>
    </w:p>
    <w:p>
      <w:pPr>
        <w:spacing w:before="60" w:after="160" w:line="276" w:lineRule="auto"/>
        <w:jc w:val="center"/>
      </w:pPr>
      <w:r>
        <w:rPr>
          <w:rFonts w:ascii="Calibri" w:hAnsi="Calibri"/>
          <w:b/>
          <w:color w:val="0F2C59"/>
          <w:sz w:val="18"/>
        </w:rPr>
        <w:t xml:space="preserve">Figura I.1b. </w:t>
      </w:r>
      <w:r>
        <w:rPr>
          <w:rFonts w:ascii="Calibri" w:hAnsi="Calibri"/>
          <w:i/>
          <w:color w:val="4B5563"/>
          <w:sz w:val="18"/>
        </w:rPr>
        <w:t>Modelo tridimensional CAD en Autodesk Fusion 360 conforme a WO-01 mostrando el gabinete estructural concluido con paredes exteriores lisas y ensamble general.</w:t>
      </w:r>
    </w:p>
    <w:p>
      <w:pPr>
        <w:keepNext/>
        <w:spacing w:before="180" w:after="60"/>
      </w:pPr>
      <w:r>
        <w:rPr>
          <w:rFonts w:ascii="Calibri" w:hAnsi="Calibri"/>
          <w:b/>
          <w:color w:val="B45309"/>
          <w:sz w:val="21"/>
        </w:rPr>
        <w:t>Orden de Trabajo WO-02: Mecanizado CNC, Plegado y Montaje de 6 Bandejas Deslizantes (1+4+1)</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WO-02: Bandejas Deslizantes Mixtas y Rieles Accuride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Deslizantes (A a F) de 943.6 × 650 × 85 mm con bahías asimétricas 1+4+1</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 (1.21 mm) [Aceroplaza MTY], 12 rieles telescópicos Accuride 3832 de 45 kg, remaches estructurales de acero 3/16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por láser CNC fibra óptica 1.5 kW, prensa dobladora CNC 40 toneladas, remachadora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entre cantos 943.6 ± 0.25 mm (holgura lateral 3.2 mm por costado con gabinete), paralelismo entre rieles ± 0.3 mm</w:t>
            </w:r>
          </w:p>
        </w:tc>
      </w:tr>
    </w:tbl>
    <w:p>
      <w:pPr>
        <w:spacing w:line="276" w:lineRule="auto" w:before="0" w:after="60"/>
        <w:jc w:val="both"/>
      </w:pPr>
      <w:r>
        <w:rPr>
          <w:rFonts w:ascii="Calibri" w:hAnsi="Calibri"/>
          <w:b/>
          <w:color w:val="1F2937"/>
          <w:sz w:val="20"/>
        </w:rPr>
        <w:t xml:space="preserve">Procedimiento Operativo de Taller (WO-02): </w:t>
      </w:r>
      <w:r>
        <w:rPr>
          <w:rFonts w:ascii="Calibri" w:hAnsi="Calibri"/>
          <w:color w:val="1F2937"/>
          <w:sz w:val="20"/>
        </w:rPr>
        <w:t>Pasos de Construcción Secuencial (WO-02):</w:t>
      </w:r>
    </w:p>
    <w:p>
      <w:pPr>
        <w:spacing w:line="276" w:lineRule="auto" w:before="0" w:after="60"/>
        <w:jc w:val="both"/>
      </w:pPr>
      <w:r>
        <w:rPr>
          <w:rFonts w:ascii="Calibri" w:hAnsi="Calibri"/>
          <w:color w:val="1F2937"/>
          <w:sz w:val="20"/>
        </w:rPr>
        <w:t>• Paso 2.1 (Corte Láser CNC): Cortar en láser de fibra óptica las 6 bases portaproductos a partir de hojas de lámina galvanizada Cal. 18 de 4 × 8 pies. Cortar simultáneamente los barrenos pasantes de 4.5 mm para anclaje de motores, ranuras de encastre para guías divisoras y perforaciones de alivio de peso.</w:t>
      </w:r>
    </w:p>
    <w:p>
      <w:pPr>
        <w:spacing w:line="276" w:lineRule="auto" w:before="0" w:after="60"/>
        <w:jc w:val="both"/>
      </w:pPr>
      <w:r>
        <w:rPr>
          <w:rFonts w:ascii="Calibri" w:hAnsi="Calibri"/>
          <w:color w:val="1F2937"/>
          <w:sz w:val="20"/>
        </w:rPr>
        <w:t>• Paso 2.2 (Plegado CNC): Ejecutar el doblado perimetral en 4 golpes a 90° con radio interior r = 1.5 mm. Plegar el borde posterior a 85 mm de altura para actuar como pared de soporte de los 6 motorreductores, y doblar las vigas canaleta frontales al ras para conferir rigidez a flexión bajo carga de 23.12 kg por bandeja.</w:t>
      </w:r>
    </w:p>
    <w:p>
      <w:pPr>
        <w:spacing w:line="276" w:lineRule="auto" w:before="0" w:after="60"/>
        <w:jc w:val="both"/>
      </w:pPr>
      <w:r>
        <w:rPr>
          <w:rFonts w:ascii="Calibri" w:hAnsi="Calibri"/>
          <w:color w:val="1F2937"/>
          <w:sz w:val="20"/>
        </w:rPr>
        <w:t>• Paso 2.3 (Guías Divisorias Asimétricas): Troquelar y plegar 7 guías divisorias de chapa Cal. 20 (altura 60 mm). Fijar por encastre en cada bandeja para configurar exactamente la topología 1+4+1: Bahía lateral izquierda de 190.0 mm libre, cuatro carriles centrales de 95.0 mm libre cada uno, y bahía lateral derecha de 190.0 mm libre.</w:t>
      </w:r>
    </w:p>
    <w:p>
      <w:pPr>
        <w:spacing w:line="276" w:lineRule="auto" w:before="0" w:after="80"/>
        <w:jc w:val="both"/>
      </w:pPr>
      <w:r>
        <w:rPr>
          <w:rFonts w:ascii="Calibri" w:hAnsi="Calibri"/>
          <w:color w:val="1F2937"/>
          <w:sz w:val="20"/>
        </w:rPr>
        <w:t>• Paso 2.4 (Fijación de Correderas Telescópicas): Montar los miembros móviles de los rieles Accuride 3832 en los costados de las bandejas mediante remaches estructurales de acero de 3/16 Pulg. Instalar los miembros fijos en los postes del gabinete vertical a cotas espaciadas uniformemente cada 175 mm (niveles A, B, C, D, E y F). Verificar suavidad de deslizamiento y bloqueo de tope al 100% de extracción.</w:t>
      </w:r>
    </w:p>
    <w:p>
      <w:pPr>
        <w:jc w:val="center"/>
      </w:pPr>
      <w:r>
        <w:drawing>
          <wp:inline xmlns:a="http://schemas.openxmlformats.org/drawingml/2006/main" xmlns:pic="http://schemas.openxmlformats.org/drawingml/2006/picture">
            <wp:extent cx="6177280" cy="3474720"/>
            <wp:docPr id="31" name="Picture 31"/>
            <wp:cNvGraphicFramePr>
              <a:graphicFrameLocks noChangeAspect="1"/>
            </wp:cNvGraphicFramePr>
            <a:graphic>
              <a:graphicData uri="http://schemas.openxmlformats.org/drawingml/2006/picture">
                <pic:pic>
                  <pic:nvPicPr>
                    <pic:cNvPr id="0" name="ExpendeX_Render_CAD_Frontal_1a1.png"/>
                    <pic:cNvPicPr/>
                  </pic:nvPicPr>
                  <pic:blipFill>
                    <a:blip r:embed="rId35"/>
                    <a:stretch>
                      <a:fillRect/>
                    </a:stretch>
                  </pic:blipFill>
                  <pic:spPr>
                    <a:xfrm>
                      <a:off x="0" y="0"/>
                      <a:ext cx="6177280" cy="3474720"/>
                    </a:xfrm>
                    <a:prstGeom prst="rect"/>
                  </pic:spPr>
                </pic:pic>
              </a:graphicData>
            </a:graphic>
          </wp:inline>
        </w:drawing>
      </w:r>
    </w:p>
    <w:p>
      <w:pPr>
        <w:spacing w:before="60" w:after="160" w:line="276" w:lineRule="auto"/>
        <w:jc w:val="center"/>
      </w:pPr>
      <w:r>
        <w:rPr>
          <w:rFonts w:ascii="Calibri" w:hAnsi="Calibri"/>
          <w:b/>
          <w:color w:val="0F2C59"/>
          <w:sz w:val="18"/>
        </w:rPr>
        <w:t xml:space="preserve">Figura I.2. </w:t>
      </w:r>
      <w:r>
        <w:rPr>
          <w:rFonts w:ascii="Calibri" w:hAnsi="Calibri"/>
          <w:i/>
          <w:color w:val="4B5563"/>
          <w:sz w:val="18"/>
        </w:rPr>
        <w:t>Elevación frontal del prototipo conforme a WO-02 revelando la distribución exacta de las 6 bandejas deslizantes y sus bahías asimétricas 1+4+1.</w:t>
      </w:r>
    </w:p>
    <w:p>
      <w:pPr>
        <w:keepNext/>
        <w:spacing w:before="180" w:after="60"/>
      </w:pPr>
      <w:r>
        <w:rPr>
          <w:rFonts w:ascii="Calibri" w:hAnsi="Calibri"/>
          <w:b/>
          <w:color w:val="B45309"/>
          <w:sz w:val="21"/>
        </w:rPr>
        <w:t>Orden de Trabajo WO-03: Conformado e Instalación de 36 Espirales Helicoidales y Acoples D-Shaft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WO-03: Espirales Dosificadoras Circulares, Bujes D-Shaft y Motorreductores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Gigantes Ø 144 mm (comida), 24 Espirales Estándar Ø 70 mm (bebidas) y 36 Motores 24V DC</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de Acero Inoxidable AISI 302 Ø 7.0 mm (comida), Alambre de Acero Templado Zincado Ø 4.0 mm (bebidas), Barra redonda Nylon 6/6 Ø 30 mm</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Roladora de resortes helicoidales de mandril rotativo, torno CNC para bujes, dinamómetro digital de par, tornillos prisioneros M4</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Diámetro exterior ± 0.5 mm, paso axial de comida p = 118 ± 1.0 mm, paso de bebidas p = 85 ± 0.8 mm, concentricidad de buje 0.05 mm</w:t>
            </w:r>
          </w:p>
        </w:tc>
      </w:tr>
    </w:tbl>
    <w:p>
      <w:pPr>
        <w:spacing w:line="276" w:lineRule="auto" w:before="0" w:after="60"/>
        <w:jc w:val="both"/>
      </w:pPr>
      <w:r>
        <w:rPr>
          <w:rFonts w:ascii="Calibri" w:hAnsi="Calibri"/>
          <w:b/>
          <w:color w:val="1F2937"/>
          <w:sz w:val="20"/>
        </w:rPr>
        <w:t xml:space="preserve">Procedimiento Operativo de Taller (WO-03): </w:t>
      </w:r>
      <w:r>
        <w:rPr>
          <w:rFonts w:ascii="Calibri" w:hAnsi="Calibri"/>
          <w:color w:val="1F2937"/>
          <w:sz w:val="20"/>
        </w:rPr>
        <w:t>Pasos de Construcción Secuencial (WO-03):</w:t>
      </w:r>
    </w:p>
    <w:p>
      <w:pPr>
        <w:spacing w:line="276" w:lineRule="auto" w:before="0" w:after="60"/>
        <w:jc w:val="both"/>
      </w:pPr>
      <w:r>
        <w:rPr>
          <w:rFonts w:ascii="Calibri" w:hAnsi="Calibri"/>
          <w:color w:val="1F2937"/>
          <w:sz w:val="20"/>
        </w:rPr>
        <w:t>• Paso 3.1 (Rolado en Frío de Espirales Gigantes de Comida): Configurar la máquina roladora con mandril cilíndrico de Ø 130 mm. Alimentar alambre de acero inoxidable AISI 302 de Ø 7.0 mm y conformar 12 espirales continuas de 5 vueltas completas con diámetro exterior final de Ø 144.0 mm y paso axial constante p = 118.0 mm. Cortar extremo con disco abrasivo fino y desbastar la punta a 45°.</w:t>
      </w:r>
    </w:p>
    <w:p>
      <w:pPr>
        <w:spacing w:line="276" w:lineRule="auto" w:before="0" w:after="60"/>
        <w:jc w:val="both"/>
      </w:pPr>
      <w:r>
        <w:rPr>
          <w:rFonts w:ascii="Calibri" w:hAnsi="Calibri"/>
          <w:color w:val="1F2937"/>
          <w:sz w:val="20"/>
        </w:rPr>
        <w:t>• Paso 3.2 (Conformado de Espirales Estándar de Bebidas): Conformar en mandril de Ø 62 mm las 24 espirales de bebidas utilizando alambre de acero templado cincado de Ø 4.0 mm con 7 vueltas completas, diámetro exterior de Ø 70.0 mm y paso axial p = 85.0 mm.</w:t>
      </w:r>
    </w:p>
    <w:p>
      <w:pPr>
        <w:spacing w:line="276" w:lineRule="auto" w:before="0" w:after="60"/>
        <w:jc w:val="both"/>
      </w:pPr>
      <w:r>
        <w:rPr>
          <w:rFonts w:ascii="Calibri" w:hAnsi="Calibri"/>
          <w:color w:val="1F2937"/>
          <w:sz w:val="20"/>
        </w:rPr>
        <w:t>• Paso 3.3 (Torneado CNC de Bujes de Acople D-Shaft): Mecanizar en torno CNC 36 bujes de acople en barra de Nylon 6/6 autolubricado (diámetro exterior 28.0 mm, longitud 35.0 mm). Barrenar cavidad frontal con geometría D-Shaft plana de 6.0 mm (profundidad 18 mm) para acoplar al eje del motorreductor planetario, y ranura perimetral posterior para fijación por interferencia del alambre de la espiral con prisionero Allen M4 de grado 8.8.</w:t>
      </w:r>
    </w:p>
    <w:p>
      <w:pPr>
        <w:spacing w:line="276" w:lineRule="auto" w:before="0" w:after="80"/>
        <w:jc w:val="both"/>
      </w:pPr>
      <w:r>
        <w:rPr>
          <w:rFonts w:ascii="Calibri" w:hAnsi="Calibri"/>
          <w:color w:val="1F2937"/>
          <w:sz w:val="20"/>
        </w:rPr>
        <w:t>• Paso 3.4 (Montaje de Motorreductores 24V DC y Verificación): Fijar los 36 motorreductores planetarios de 24V DC (reducción 1:50, 25 RPM nominal, torque 1.80 N·m) en la chapa posterior de las bandejas mediante 4 tornillos M3 por motor. Insertar los bujes y las espirales. Comprobar que en las bahías laterales de 190 mm se instale un único resorte circular gigante centrado coaxialmente (X = 95 mm), garantizando el avance perfectamente recto de los recipientes cuadrados de 3 divisiones (2 guarniciones + 1 plato fuerte) sin vuelcos ni necesidad de resortes dobles.</w:t>
      </w:r>
    </w:p>
    <w:p>
      <w:pPr>
        <w:jc w:val="center"/>
      </w:pPr>
      <w:r>
        <w:drawing>
          <wp:inline xmlns:a="http://schemas.openxmlformats.org/drawingml/2006/main" xmlns:pic="http://schemas.openxmlformats.org/drawingml/2006/picture">
            <wp:extent cx="4206240" cy="5633357"/>
            <wp:docPr id="32" name="Picture 32"/>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I.3. </w:t>
      </w:r>
      <w:r>
        <w:rPr>
          <w:rFonts w:ascii="Calibri" w:hAnsi="Calibri"/>
          <w:i/>
          <w:color w:val="4B5563"/>
          <w:sz w:val="18"/>
        </w:rPr>
        <w:t>Ensamble interior verificado conforme a WO-03 mostrando los recipientes cuadrados de 3 divisiones en las espirales laterales gigantes y las bebidas en los carriles centrales.</w:t>
      </w:r>
    </w:p>
    <w:p>
      <w:pPr>
        <w:jc w:val="center"/>
      </w:pPr>
      <w:r>
        <w:drawing>
          <wp:inline xmlns:a="http://schemas.openxmlformats.org/drawingml/2006/main" xmlns:pic="http://schemas.openxmlformats.org/drawingml/2006/picture">
            <wp:extent cx="4389120" cy="2758749"/>
            <wp:docPr id="33" name="Picture 3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6"/>
                    <a:stretch>
                      <a:fillRect/>
                    </a:stretch>
                  </pic:blipFill>
                  <pic:spPr>
                    <a:xfrm>
                      <a:off x="0" y="0"/>
                      <a:ext cx="4389120" cy="2758749"/>
                    </a:xfrm>
                    <a:prstGeom prst="rect"/>
                  </pic:spPr>
                </pic:pic>
              </a:graphicData>
            </a:graphic>
          </wp:inline>
        </w:drawing>
      </w:r>
    </w:p>
    <w:p>
      <w:pPr>
        <w:spacing w:before="60" w:after="160" w:line="276" w:lineRule="auto"/>
        <w:jc w:val="center"/>
      </w:pPr>
      <w:r>
        <w:rPr>
          <w:rFonts w:ascii="Calibri" w:hAnsi="Calibri"/>
          <w:b/>
          <w:color w:val="0F2C59"/>
          <w:sz w:val="18"/>
        </w:rPr>
        <w:t xml:space="preserve">Figura I.3b. </w:t>
      </w:r>
      <w:r>
        <w:rPr>
          <w:rFonts w:ascii="Calibri" w:hAnsi="Calibri"/>
          <w:i/>
          <w:color w:val="4B5563"/>
          <w:sz w:val="18"/>
        </w:rPr>
        <w:t>Detalle frontal superior de bandejas conforme a WO-03: arquitectura 1+4+1 con espirales reforzadas de Ø 144 mm para platillos y centrales de Ø 70 mm para bebidas.</w:t>
      </w:r>
    </w:p>
    <w:p>
      <w:pPr>
        <w:jc w:val="center"/>
      </w:pPr>
      <w:r>
        <w:drawing>
          <wp:inline xmlns:a="http://schemas.openxmlformats.org/drawingml/2006/main" xmlns:pic="http://schemas.openxmlformats.org/drawingml/2006/picture">
            <wp:extent cx="4023360" cy="6369577"/>
            <wp:docPr id="34" name="Picture 3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7"/>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I.3c. </w:t>
      </w:r>
      <w:r>
        <w:rPr>
          <w:rFonts w:ascii="Calibri" w:hAnsi="Calibri"/>
          <w:i/>
          <w:color w:val="4B5563"/>
          <w:sz w:val="18"/>
        </w:rPr>
        <w:t>Detalle constructivo de guías telescópicas, pestañas de retención en 'C' y mecanismo de cerradura conforme a WO-03.</w:t>
      </w:r>
    </w:p>
    <w:p>
      <w:pPr>
        <w:keepNext/>
        <w:spacing w:before="180" w:after="60"/>
      </w:pPr>
      <w:r>
        <w:rPr>
          <w:rFonts w:ascii="Calibri" w:hAnsi="Calibri"/>
          <w:b/>
          <w:color w:val="B45309"/>
          <w:sz w:val="21"/>
        </w:rPr>
        <w:t>Orden de Trabajo WO-04: Aislamiento Térmico Criogénico y Vitrina Panorámica Low-E</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WO-04: Aislamiento Criogénico de Poliuretano y Doble Cristal Low-E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Cámara Frigorífica Hermética (NOM-251-SSA1-2009) y Puerta Panorámica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Espuma rígida de poliuretano expandido (densidad 40 kg/m³, espesor 40 mm), unidad DVH Low-E (4+12+4 mm argón), sellador butílico, silicón grado alimenticio FDA</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inyección de poliuretano bicomponente a presión (isocianato/poliol 1:1), pistola selladora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espuma 40.0 ± 1.5 mm, coeficiente de transmitancia global U &lt;= 0.42 W/(m²·K), estanqueidad al 100%</w:t>
            </w:r>
          </w:p>
        </w:tc>
      </w:tr>
    </w:tbl>
    <w:p>
      <w:pPr>
        <w:spacing w:line="276" w:lineRule="auto" w:before="0" w:after="60"/>
        <w:jc w:val="both"/>
      </w:pPr>
      <w:r>
        <w:rPr>
          <w:rFonts w:ascii="Calibri" w:hAnsi="Calibri"/>
          <w:b/>
          <w:color w:val="1F2937"/>
          <w:sz w:val="20"/>
        </w:rPr>
        <w:t xml:space="preserve">Procedimiento Operativo de Taller (WO-04): </w:t>
      </w:r>
      <w:r>
        <w:rPr>
          <w:rFonts w:ascii="Calibri" w:hAnsi="Calibri"/>
          <w:color w:val="1F2937"/>
          <w:sz w:val="20"/>
        </w:rPr>
        <w:t>Pasos de Construcción Secuencial (WO-04):</w:t>
      </w:r>
    </w:p>
    <w:p>
      <w:pPr>
        <w:spacing w:line="276" w:lineRule="auto" w:before="0" w:after="60"/>
        <w:jc w:val="both"/>
      </w:pPr>
      <w:r>
        <w:rPr>
          <w:rFonts w:ascii="Calibri" w:hAnsi="Calibri"/>
          <w:color w:val="1F2937"/>
          <w:sz w:val="20"/>
        </w:rPr>
        <w:t>• Paso 4.1 (Preparación de Cavidades Térmicas): Colocar separadores plásticos de 40 mm entre el bastidor interior de PTR y la chapa exterior de lámina cold rolled. Sellar uniones con cinta de butilo de alta adherencia para evitar fugas de espuma.</w:t>
      </w:r>
    </w:p>
    <w:p>
      <w:pPr>
        <w:spacing w:line="276" w:lineRule="auto" w:before="0" w:after="60"/>
        <w:jc w:val="both"/>
      </w:pPr>
      <w:r>
        <w:rPr>
          <w:rFonts w:ascii="Calibri" w:hAnsi="Calibri"/>
          <w:color w:val="1F2937"/>
          <w:sz w:val="20"/>
        </w:rPr>
        <w:t>• Paso 4.2 (Inyección de Poliuretano Expandido): Calentar los componentes químicos a 45 °C e inyectar poliuretano rígido de celda cerrada (densidad 40 kg/m³, conductividad térmica k = 0.022 W/(m·K)) a una presión de 150 bar mediante toberas distribuidas uniformemente. Dejar curar durante 4 horas bajo prensado superficial.</w:t>
      </w:r>
    </w:p>
    <w:p>
      <w:pPr>
        <w:spacing w:line="276" w:lineRule="auto" w:before="0" w:after="60"/>
        <w:jc w:val="both"/>
      </w:pPr>
      <w:r>
        <w:rPr>
          <w:rFonts w:ascii="Calibri" w:hAnsi="Calibri"/>
          <w:color w:val="1F2937"/>
          <w:sz w:val="20"/>
        </w:rPr>
        <w:t>• Paso 4.3 (Ensamble de la Vitrina Panorámica Doble Low-E): Instalar en el marco de la puerta el panel termopanel doble templado (ancho 810 mm, alto 1,220 mm) constituido por cristal exterior de 4.0 mm, cámara deshidratada de 12.0 mm rellena al 90% con gas argón y cristal interior de 4.0 mm con recubrimiento pirolítico Low-E (baja emisividad, factor U = 1.30 W/(m²·K)). Fijar con junquillos de aluminio extruido y junta perimetral de EPDM.</w:t>
      </w:r>
    </w:p>
    <w:p>
      <w:pPr>
        <w:spacing w:line="276" w:lineRule="auto" w:before="0" w:after="80"/>
        <w:jc w:val="both"/>
      </w:pPr>
      <w:r>
        <w:rPr>
          <w:rFonts w:ascii="Calibri" w:hAnsi="Calibri"/>
          <w:color w:val="1F2937"/>
          <w:sz w:val="20"/>
        </w:rPr>
        <w:t>• Paso 4.4 (Sellado Sanitario Perimetral): Aplicar cordón continuo de silicón grado sanitario antihongos (cumplimiento NOM-251 y FDA 21 CFR 177.2600) en todas las juntas interiores para permitir lavado y desinfección con soluciones cloradas sin degradación térmica.</w:t>
      </w:r>
    </w:p>
    <w:p>
      <w:pPr>
        <w:jc w:val="center"/>
      </w:pPr>
      <w:r>
        <w:drawing>
          <wp:inline xmlns:a="http://schemas.openxmlformats.org/drawingml/2006/main" xmlns:pic="http://schemas.openxmlformats.org/drawingml/2006/picture">
            <wp:extent cx="4206240" cy="4206240"/>
            <wp:docPr id="35" name="Picture 35"/>
            <wp:cNvGraphicFramePr>
              <a:graphicFrameLocks noChangeAspect="1"/>
            </wp:cNvGraphicFramePr>
            <a:graphic>
              <a:graphicData uri="http://schemas.openxmlformats.org/drawingml/2006/picture">
                <pic:pic>
                  <pic:nvPicPr>
                    <pic:cNvPr id="0" name="ExpendeX_Render_Estudio_CAD_Oficial_1a1.png"/>
                    <pic:cNvPicPr/>
                  </pic:nvPicPr>
                  <pic:blipFill>
                    <a:blip r:embed="rId38"/>
                    <a:stretch>
                      <a:fillRect/>
                    </a:stretch>
                  </pic:blipFill>
                  <pic:spPr>
                    <a:xfrm>
                      <a:off x="0" y="0"/>
                      <a:ext cx="4206240" cy="4206240"/>
                    </a:xfrm>
                    <a:prstGeom prst="rect"/>
                  </pic:spPr>
                </pic:pic>
              </a:graphicData>
            </a:graphic>
          </wp:inline>
        </w:drawing>
      </w:r>
    </w:p>
    <w:p>
      <w:pPr>
        <w:spacing w:before="60" w:after="160" w:line="276" w:lineRule="auto"/>
        <w:jc w:val="center"/>
      </w:pPr>
      <w:r>
        <w:rPr>
          <w:rFonts w:ascii="Calibri" w:hAnsi="Calibri"/>
          <w:b/>
          <w:color w:val="0F2C59"/>
          <w:sz w:val="18"/>
        </w:rPr>
        <w:t xml:space="preserve">Figura I.4. </w:t>
      </w:r>
      <w:r>
        <w:rPr>
          <w:rFonts w:ascii="Calibri" w:hAnsi="Calibri"/>
          <w:i/>
          <w:color w:val="4B5563"/>
          <w:sz w:val="18"/>
        </w:rPr>
        <w:t>Render de estudio de ingeniería mostrando el sellado perimetral del cristal panorámico Low-E y la estructura aislada conforme a WO-04.</w:t>
      </w:r>
    </w:p>
    <w:p>
      <w:pPr>
        <w:jc w:val="center"/>
      </w:pPr>
      <w:r>
        <w:drawing>
          <wp:inline xmlns:a="http://schemas.openxmlformats.org/drawingml/2006/main" xmlns:pic="http://schemas.openxmlformats.org/drawingml/2006/picture">
            <wp:extent cx="4389120" cy="2194560"/>
            <wp:docPr id="36" name="Picture 36"/>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39"/>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I.4b. </w:t>
      </w:r>
      <w:r>
        <w:rPr>
          <w:rFonts w:ascii="Calibri" w:hAnsi="Calibri"/>
          <w:i/>
          <w:color w:val="4B5563"/>
          <w:sz w:val="18"/>
        </w:rPr>
        <w:t>Detalle de ensamble interior del copete conforme a WO-04: soporte para pantalla táctil de 10.1 pulgadas, gabinete SBC Raspberry Pi y bocina guía.</w:t>
      </w:r>
    </w:p>
    <w:p>
      <w:pPr>
        <w:jc w:val="center"/>
      </w:pPr>
      <w:r>
        <w:drawing>
          <wp:inline xmlns:a="http://schemas.openxmlformats.org/drawingml/2006/main" xmlns:pic="http://schemas.openxmlformats.org/drawingml/2006/picture">
            <wp:extent cx="4206240" cy="2971800"/>
            <wp:docPr id="37" name="Picture 37"/>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40"/>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I.4c. </w:t>
      </w:r>
      <w:r>
        <w:rPr>
          <w:rFonts w:ascii="Calibri" w:hAnsi="Calibri"/>
          <w:i/>
          <w:color w:val="4B5563"/>
          <w:sz w:val="18"/>
        </w:rPr>
        <w:t>Detalle de compuerta inferior basculante con persiana de ventilación (louvers), cerradura y ruedas giratorias conforme a WO-04.</w:t>
      </w:r>
    </w:p>
    <w:p>
      <w:pPr>
        <w:keepNext/>
        <w:spacing w:before="180" w:after="60"/>
      </w:pPr>
      <w:r>
        <w:rPr>
          <w:rFonts w:ascii="Calibri" w:hAnsi="Calibri"/>
          <w:b/>
          <w:color w:val="B45309"/>
          <w:sz w:val="21"/>
        </w:rPr>
        <w:t>Orden de Trabajo WO-05: Integración Electromecánica de Sala de Máquinas y Sistema Frigorífico R134a</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WO-05: Sistema Frigorífico Comercial 1/5 HP R134a y Plenum de 6 Toberas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de Máquinas Inferior (Z = 0 a 460 mm) y Red Aerodinámica Darcy-Weisbach</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Embraco EMIS70HHR 1/5 HP (485 W frigoríficos R134a), tubería cobre 5/16 Pulg y 1/4 Pulg, tubo capilar 0.031 Pulg × 2.80 m, acumulador succión Ø 92 mm, filtro secador 15 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soldadura oxiacetilénica (varilla plata 15%), bomba de vacío dos etapas 6 CFM, vacuómetro digital, manómetros de refrigeración R134a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Vacío profundo &lt; 250 micrones de Hg sostenido 30 min, prueba de nitrógeno seco a 150 psi por 24 h sin caída de presión</w:t>
            </w:r>
          </w:p>
        </w:tc>
      </w:tr>
    </w:tbl>
    <w:p>
      <w:pPr>
        <w:spacing w:line="276" w:lineRule="auto" w:before="0" w:after="60"/>
        <w:jc w:val="both"/>
      </w:pPr>
      <w:r>
        <w:rPr>
          <w:rFonts w:ascii="Calibri" w:hAnsi="Calibri"/>
          <w:b/>
          <w:color w:val="1F2937"/>
          <w:sz w:val="20"/>
        </w:rPr>
        <w:t xml:space="preserve">Procedimiento Operativo de Taller (WO-05): </w:t>
      </w:r>
      <w:r>
        <w:rPr>
          <w:rFonts w:ascii="Calibri" w:hAnsi="Calibri"/>
          <w:color w:val="1F2937"/>
          <w:sz w:val="20"/>
        </w:rPr>
        <w:t>Pasos de Construcción Secuencial (WO-05):</w:t>
      </w:r>
    </w:p>
    <w:p>
      <w:pPr>
        <w:spacing w:line="276" w:lineRule="auto" w:before="0" w:after="60"/>
        <w:jc w:val="both"/>
      </w:pPr>
      <w:r>
        <w:rPr>
          <w:rFonts w:ascii="Calibri" w:hAnsi="Calibri"/>
          <w:color w:val="1F2937"/>
          <w:sz w:val="20"/>
        </w:rPr>
        <w:t>• Paso 5.1 (Bancada Antivibratoria): Instalar la placa bancada de acero A-36 de 6.0 mm (790 × 580 mm) sobre los perfiles canal C inferiores utilizando 4 amortiguadores silentblocks de neopreno dureza 60 Shore A para aislar las vibraciones mecánicas del compresor.</w:t>
      </w:r>
    </w:p>
    <w:p>
      <w:pPr>
        <w:spacing w:line="276" w:lineRule="auto" w:before="0" w:after="60"/>
        <w:jc w:val="both"/>
      </w:pPr>
      <w:r>
        <w:rPr>
          <w:rFonts w:ascii="Calibri" w:hAnsi="Calibri"/>
          <w:color w:val="1F2937"/>
          <w:sz w:val="20"/>
        </w:rPr>
        <w:t>• Paso 5.2 (Fijación de Equipos Frigoríficos): Atornillar el motocompresor Embraco de 1/5 HP, el condensador estático de alambre sobre tubo con ventilador forzado de 16 W (caudal 320 m³/h) y el acumulador de líquido vertical de Ø 92 mm con domo semiesférico.</w:t>
      </w:r>
    </w:p>
    <w:p>
      <w:pPr>
        <w:spacing w:line="276" w:lineRule="auto" w:before="0" w:after="60"/>
        <w:jc w:val="both"/>
      </w:pPr>
      <w:r>
        <w:rPr>
          <w:rFonts w:ascii="Calibri" w:hAnsi="Calibri"/>
          <w:color w:val="1F2937"/>
          <w:sz w:val="20"/>
        </w:rPr>
        <w:t>• Paso 5.3 (Tendido y Soldadura de Tuberías): Soldar con soplete oxiacetilénico y aleación de plata al 15% bajo flujo continuo de nitrógeno seco (para evitar cascarilla interna): línea de descarga de 1/4 Pulg desde compresor a condensador, filtro secador molecular de 15 g, tubo capilar calibrado de Ø 0.031 Pulg (longitud L = 2.80 m), evaporador de aletas de aluminio y línea de succión de 5/16 Pulg conectada al acumulador.</w:t>
      </w:r>
    </w:p>
    <w:p>
      <w:pPr>
        <w:spacing w:line="276" w:lineRule="auto" w:before="0" w:after="60"/>
        <w:jc w:val="both"/>
      </w:pPr>
      <w:r>
        <w:rPr>
          <w:rFonts w:ascii="Calibri" w:hAnsi="Calibri"/>
          <w:color w:val="1F2937"/>
          <w:sz w:val="20"/>
        </w:rPr>
        <w:t>• Paso 5.4 (Plenum Difusor y 6 Toberas): Fabricar el ducto cónico posterior en chapa galvanizada con plenum difusor vertical. Troquelar las 6 toberas laminares con áreas calibradas progresivamente (Nivel A: 1,840 mm² a Nivel F: 2,680 mm²) según Darcy-Weisbach para asegurar velocidad homogénea de aire v = 1.85 m/s en las 6 charolas.</w:t>
      </w:r>
    </w:p>
    <w:p>
      <w:pPr>
        <w:spacing w:line="276" w:lineRule="auto" w:before="0" w:after="80"/>
        <w:jc w:val="both"/>
      </w:pPr>
      <w:r>
        <w:rPr>
          <w:rFonts w:ascii="Calibri" w:hAnsi="Calibri"/>
          <w:color w:val="1F2937"/>
          <w:sz w:val="20"/>
        </w:rPr>
        <w:t>• Paso 5.5 (Prueba de Presión, Vacío y Carga): Presurizar el circuito a 150 psi con nitrógeno seco durante 24 horas para garantizar 0% fugas. Realizar triple evacuación con bomba de vacío de dos etapas hasta alcanzar 200 micrones de mercurio. Cargar exactamente 180.0 ± 2.0 g de refrigerante virgen ecológico R134a mediante báscula electrónica de precisión.</w:t>
      </w:r>
    </w:p>
    <w:p>
      <w:pPr>
        <w:jc w:val="center"/>
      </w:pPr>
      <w:r>
        <w:drawing>
          <wp:inline xmlns:a="http://schemas.openxmlformats.org/drawingml/2006/main" xmlns:pic="http://schemas.openxmlformats.org/drawingml/2006/picture">
            <wp:extent cx="4754880" cy="2662733"/>
            <wp:docPr id="38" name="Picture 38"/>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4754880" cy="2662733"/>
                    </a:xfrm>
                    <a:prstGeom prst="rect"/>
                  </pic:spPr>
                </pic:pic>
              </a:graphicData>
            </a:graphic>
          </wp:inline>
        </w:drawing>
      </w:r>
    </w:p>
    <w:p>
      <w:pPr>
        <w:spacing w:before="60" w:after="160" w:line="276" w:lineRule="auto"/>
        <w:jc w:val="center"/>
      </w:pPr>
      <w:r>
        <w:rPr>
          <w:rFonts w:ascii="Calibri" w:hAnsi="Calibri"/>
          <w:b/>
          <w:color w:val="0F2C59"/>
          <w:sz w:val="18"/>
        </w:rPr>
        <w:t xml:space="preserve">Figura I.5. </w:t>
      </w:r>
      <w:r>
        <w:rPr>
          <w:rFonts w:ascii="Calibri" w:hAnsi="Calibri"/>
          <w:i/>
          <w:color w:val="4B5563"/>
          <w:sz w:val="18"/>
        </w:rPr>
        <w:t>Curva experimental de abatimiento térmico (Pull-Down) obtenida tras la ejecución de la WO-05: descenso desde 42 °C hasta 2.80 °C en 34.8 minutos.</w:t>
      </w:r>
    </w:p>
    <w:p>
      <w:pPr>
        <w:jc w:val="center"/>
      </w:pPr>
      <w:r>
        <w:drawing>
          <wp:inline xmlns:a="http://schemas.openxmlformats.org/drawingml/2006/main" xmlns:pic="http://schemas.openxmlformats.org/drawingml/2006/picture">
            <wp:extent cx="4389120" cy="2678858"/>
            <wp:docPr id="39" name="Picture 39"/>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41"/>
                    <a:stretch>
                      <a:fillRect/>
                    </a:stretch>
                  </pic:blipFill>
                  <pic:spPr>
                    <a:xfrm>
                      <a:off x="0" y="0"/>
                      <a:ext cx="4389120" cy="2678858"/>
                    </a:xfrm>
                    <a:prstGeom prst="rect"/>
                  </pic:spPr>
                </pic:pic>
              </a:graphicData>
            </a:graphic>
          </wp:inline>
        </w:drawing>
      </w:r>
    </w:p>
    <w:p>
      <w:pPr>
        <w:spacing w:before="60" w:after="160" w:line="276" w:lineRule="auto"/>
        <w:jc w:val="center"/>
      </w:pPr>
      <w:r>
        <w:rPr>
          <w:rFonts w:ascii="Calibri" w:hAnsi="Calibri"/>
          <w:b/>
          <w:color w:val="0F2C59"/>
          <w:sz w:val="18"/>
        </w:rPr>
        <w:t xml:space="preserve">Figura I.5b. </w:t>
      </w:r>
      <w:r>
        <w:rPr>
          <w:rFonts w:ascii="Calibri" w:hAnsi="Calibri"/>
          <w:i/>
          <w:color w:val="4B5563"/>
          <w:sz w:val="18"/>
        </w:rPr>
        <w:t>Ensamble CAD de sala de máquinas frigorífica conforme a WO-05: compresor Embraco 1/5 HP, condensador y tubería de cobre.</w:t>
      </w:r>
    </w:p>
    <w:p>
      <w:pPr>
        <w:jc w:val="center"/>
      </w:pPr>
      <w:r>
        <w:drawing>
          <wp:inline xmlns:a="http://schemas.openxmlformats.org/drawingml/2006/main" xmlns:pic="http://schemas.openxmlformats.org/drawingml/2006/picture">
            <wp:extent cx="4389120" cy="2674620"/>
            <wp:docPr id="40" name="Picture 40"/>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42"/>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I.5c. </w:t>
      </w:r>
      <w:r>
        <w:rPr>
          <w:rFonts w:ascii="Calibri" w:hAnsi="Calibri"/>
          <w:i/>
          <w:color w:val="4B5563"/>
          <w:sz w:val="18"/>
        </w:rPr>
        <w:t>Detalle del paquete de condensación con forzador axial, filtro secador y base inferior de montaje conforme a WO-05.</w:t>
      </w:r>
    </w:p>
    <w:p>
      <w:pPr>
        <w:keepNext/>
        <w:spacing w:before="180" w:after="60"/>
      </w:pPr>
      <w:r>
        <w:rPr>
          <w:rFonts w:ascii="Calibri" w:hAnsi="Calibri"/>
          <w:b/>
          <w:color w:val="B45309"/>
          <w:sz w:val="21"/>
        </w:rPr>
        <w:t>Orden de Trabajo WO-06: Fabricación e Integración de la PCB EasyEDA (Electrónica de Potencia 6×6)</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WO-06: Tarjeta PCB EasyEDA Matriz MOSFET 6×6 y Protecciones Flyback</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y Ruteo de 36 Canales con 12 Líneas GPIO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de 2 capas FR-4 (120 × 100 mm, cobre 1 oz / 35 µm, pistas 3.50 mm) [EasyEDA], 6 P-MOSFET IRF9540N, 6 N-MOSFET IRLZ44N, 12 optos PC817C, 36 diodos Schottky 1N5822</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de soldadura digital Hakko FX-888D con punta fina, estaño SAC305 libre de plomo, osciloscopio digital Rigol DS1054Z 50 MHz, multímetro True-RMS</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dieléctrico &gt; 5,000 V RMS, ancho de pista de potencia 3.50 ± 0.05 mm (IPC-2221B), sobretensión Flyback &lt;= 25.0 V</w:t>
            </w:r>
          </w:p>
        </w:tc>
      </w:tr>
    </w:tbl>
    <w:p>
      <w:pPr>
        <w:spacing w:line="276" w:lineRule="auto" w:before="0" w:after="60"/>
        <w:jc w:val="both"/>
      </w:pPr>
      <w:r>
        <w:rPr>
          <w:rFonts w:ascii="Calibri" w:hAnsi="Calibri"/>
          <w:b/>
          <w:color w:val="1F2937"/>
          <w:sz w:val="20"/>
        </w:rPr>
        <w:t xml:space="preserve">Procedimiento Operativo de Taller (WO-06): </w:t>
      </w:r>
      <w:r>
        <w:rPr>
          <w:rFonts w:ascii="Calibri" w:hAnsi="Calibri"/>
          <w:color w:val="1F2937"/>
          <w:sz w:val="20"/>
        </w:rPr>
        <w:t>Pasos de Construcción Secuencial (WO-06):</w:t>
      </w:r>
    </w:p>
    <w:p>
      <w:pPr>
        <w:spacing w:line="276" w:lineRule="auto" w:before="0" w:after="60"/>
        <w:jc w:val="both"/>
      </w:pPr>
      <w:r>
        <w:rPr>
          <w:rFonts w:ascii="Calibri" w:hAnsi="Calibri"/>
          <w:color w:val="1F2937"/>
          <w:sz w:val="20"/>
        </w:rPr>
        <w:t>• Paso 6.1 (Inspección y Limpieza de PCB): Inspeccionar la placa virgen FR-4 de 2 capas fabricada desde los archivos Gerber de EasyEDA. Verificar con lupa de 20x que las pistas de potencia de +24V y GND (ancho W = 3.50 mm, espaciamiento 1.50 mm según norma IPC-2221B) estén libres de microcortos y con barniz de máscara antisoldante verde impecable.</w:t>
      </w:r>
    </w:p>
    <w:p>
      <w:pPr>
        <w:spacing w:line="276" w:lineRule="auto" w:before="0" w:after="60"/>
        <w:jc w:val="both"/>
      </w:pPr>
      <w:r>
        <w:rPr>
          <w:rFonts w:ascii="Calibri" w:hAnsi="Calibri"/>
          <w:color w:val="1F2937"/>
          <w:sz w:val="20"/>
        </w:rPr>
        <w:t>• Paso 6.2 (Soldadura de Componentes Pasivos y Optoacopladores): Soldar los 12 optoacopladores PC817C garantizando barrera física de 8.0 mm entre el plano de control digital de 3.3V y el plano de potencia flotante de 24V DC. Soldar resistencias de pull-up/pull-down metal film al 1% y capacitores de desacoplo de 100 nF cerámicos multicapa.</w:t>
      </w:r>
    </w:p>
    <w:p>
      <w:pPr>
        <w:spacing w:line="276" w:lineRule="auto" w:before="0" w:after="60"/>
        <w:jc w:val="both"/>
      </w:pPr>
      <w:r>
        <w:rPr>
          <w:rFonts w:ascii="Calibri" w:hAnsi="Calibri"/>
          <w:color w:val="1F2937"/>
          <w:sz w:val="20"/>
        </w:rPr>
        <w:t>• Paso 6.3 (Montaje de MOSFETs y Redes Flyback): Soldar los 6 transistores MOSFET de canal P IRF9540NPBF (High-Side) y los 6 MOSFET de canal N IRLZ44NPBF (Low-Side) con disipadores de aluminio anodizado en peineta de 25 mm. Soldar en cada uno de los 36 nodos de motorreductor un diodo Schottky 1N5822 (40V, 3A, caída VF = 0.45V) en antiparalelo con red snubber RC (10 Ω, 10 nF) para enclavar picos inductivos por debajo de 24.62 V.</w:t>
      </w:r>
    </w:p>
    <w:p>
      <w:pPr>
        <w:spacing w:line="276" w:lineRule="auto" w:before="0" w:after="80"/>
        <w:jc w:val="both"/>
      </w:pPr>
      <w:r>
        <w:rPr>
          <w:rFonts w:ascii="Calibri" w:hAnsi="Calibri"/>
          <w:color w:val="1F2937"/>
          <w:sz w:val="20"/>
        </w:rPr>
        <w:t>• Paso 6.4 (Conexión de Mazos y Pruebas en Vacío): Conectar borneras tipo tornillo Phoenix Contact de 5.08 mm. Conectar el mazo de 12 líneas de control hacia los pines GPIO del microcontrolador ESP32-WROOM-32E y alimentar la etapa de potencia desde la fuente industrial conmutada Mean Well LRS-350-24 (24V DC, 14.6A, 350W). Verificar en osciloscopio la conmutación matricial limpia nodo por nodo.</w:t>
      </w:r>
    </w:p>
    <w:p>
      <w:pPr>
        <w:jc w:val="center"/>
      </w:pPr>
      <w:r>
        <w:drawing>
          <wp:inline xmlns:a="http://schemas.openxmlformats.org/drawingml/2006/main" xmlns:pic="http://schemas.openxmlformats.org/drawingml/2006/picture">
            <wp:extent cx="4206240" cy="2897048"/>
            <wp:docPr id="41" name="Picture 41"/>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206240" cy="2897048"/>
                    </a:xfrm>
                    <a:prstGeom prst="rect"/>
                  </pic:spPr>
                </pic:pic>
              </a:graphicData>
            </a:graphic>
          </wp:inline>
        </w:drawing>
      </w:r>
    </w:p>
    <w:p>
      <w:pPr>
        <w:spacing w:before="60" w:after="160" w:line="276" w:lineRule="auto"/>
        <w:jc w:val="center"/>
      </w:pPr>
      <w:r>
        <w:rPr>
          <w:rFonts w:ascii="Calibri" w:hAnsi="Calibri"/>
          <w:b/>
          <w:color w:val="0F2C59"/>
          <w:sz w:val="18"/>
        </w:rPr>
        <w:t xml:space="preserve">Figura I.6. </w:t>
      </w:r>
      <w:r>
        <w:rPr>
          <w:rFonts w:ascii="Calibri" w:hAnsi="Calibri"/>
          <w:i/>
          <w:color w:val="4B5563"/>
          <w:sz w:val="18"/>
        </w:rPr>
        <w:t>Layout 2D de la placa de circuito impreso EasyEDA conforme a WO-06 mostrando la distribución matricial 6×6, aislamiento galvánico de 5 kV y pistas de potencia de 3.50 mm.</w:t>
      </w:r>
    </w:p>
    <w:p>
      <w:pPr>
        <w:jc w:val="center"/>
      </w:pPr>
      <w:r>
        <w:drawing>
          <wp:inline xmlns:a="http://schemas.openxmlformats.org/drawingml/2006/main" xmlns:pic="http://schemas.openxmlformats.org/drawingml/2006/picture">
            <wp:extent cx="4389120" cy="5685736"/>
            <wp:docPr id="42" name="Picture 4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43"/>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I.6b. </w:t>
      </w:r>
      <w:r>
        <w:rPr>
          <w:rFonts w:ascii="Calibri" w:hAnsi="Calibri"/>
          <w:i/>
          <w:color w:val="4B5563"/>
          <w:sz w:val="18"/>
        </w:rPr>
        <w:t>Vista isométrica posterior del gemelo digital en Fusion 360 conforme a WO-06: matriz de 36 motorreductores planetarios 24V DC y canalización de arneses.</w:t>
      </w:r>
    </w:p>
    <w:p>
      <w:pPr>
        <w:keepNext/>
        <w:spacing w:before="180" w:after="60"/>
      </w:pPr>
      <w:r>
        <w:rPr>
          <w:rFonts w:ascii="Calibri" w:hAnsi="Calibri"/>
          <w:b/>
          <w:color w:val="B45309"/>
          <w:sz w:val="21"/>
        </w:rPr>
        <w:t>Orden de Trabajo WO-07: Ensamble de Puerta (3 Bisagras), Compuerta Inferior sin Manija y Copete 10.1 Pulg</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WO-07: Puerta Principal, Compuerta Basculante sin Manija y Terminal 10.1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Herrajes Industriales, Sistema de Entrega Basculante y Movilidad</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industriales pesadas libro acero inox AISI 304 (alas 4 mm), 2 bisagras articuladas compuerta, 4 ruedas giratorias 4 Pulg con freno, pantalla táctil IPS 10.1 Pulg, cerradura CompX ACE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Taladro de columna, machuelos M6 × 1.0, remachadora, torquímetro calibrado a 8.5 N·m</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vertical de puerta ± 0.5 mm en 1,830 mm, compuerta columpio con retorno gravitacional suave sin fricción</w:t>
            </w:r>
          </w:p>
        </w:tc>
      </w:tr>
    </w:tbl>
    <w:p>
      <w:pPr>
        <w:spacing w:line="276" w:lineRule="auto" w:before="0" w:after="60"/>
        <w:jc w:val="both"/>
      </w:pPr>
      <w:r>
        <w:rPr>
          <w:rFonts w:ascii="Calibri" w:hAnsi="Calibri"/>
          <w:b/>
          <w:color w:val="1F2937"/>
          <w:sz w:val="20"/>
        </w:rPr>
        <w:t xml:space="preserve">Procedimiento Operativo de Taller (WO-07): </w:t>
      </w:r>
      <w:r>
        <w:rPr>
          <w:rFonts w:ascii="Calibri" w:hAnsi="Calibri"/>
          <w:color w:val="1F2937"/>
          <w:sz w:val="20"/>
        </w:rPr>
        <w:t>Pasos de Construcción Secuencial (WO-07):</w:t>
      </w:r>
    </w:p>
    <w:p>
      <w:pPr>
        <w:spacing w:line="276" w:lineRule="auto" w:before="0" w:after="60"/>
        <w:jc w:val="both"/>
      </w:pPr>
      <w:r>
        <w:rPr>
          <w:rFonts w:ascii="Calibri" w:hAnsi="Calibri"/>
          <w:color w:val="1F2937"/>
          <w:sz w:val="20"/>
        </w:rPr>
        <w:t>• Paso 7.1 (Instalación de las 3 Bisagras de Puerta): Barrenar y machuelear con M6 × 1.0 a lo largo del canto vertical izquierdo del bastidor PTR. Instalar tres bisagras industriales pesadas de libro en acero inoxidable forjado AISI 304 (alas de 4 mm con pasador rectificado de Ø 8 mm y grasera Zerk): una bisagra superior a Z = 1,750 mm, una bisagra central a media altura (Z = 1,050 mm) y una bisagra inferior a Z = 520 mm. Apretar con torquímetro a 8.5 N·m. Montar en el lateral derecho la cerradura de seguridad CompX Chicago ACE T-Handle con varillas de enclavamiento multipunto.</w:t>
      </w:r>
    </w:p>
    <w:p>
      <w:pPr>
        <w:spacing w:line="276" w:lineRule="auto" w:before="0" w:after="60"/>
        <w:jc w:val="both"/>
      </w:pPr>
      <w:r>
        <w:rPr>
          <w:rFonts w:ascii="Calibri" w:hAnsi="Calibri"/>
          <w:color w:val="1F2937"/>
          <w:sz w:val="20"/>
        </w:rPr>
        <w:t>• Paso 7.2 (Montaje de Compuerta Inferior Basculante sin Manija): En el faldón inferior (Z = 180 a 420 mm), ensamblar la compuerta de entrega de alimentos de 670 × 240 mm conformada en chapa Cal. 18. Instalar dos bisagras articuladas en el borde horizontal superior. Dejar la cara frontal 100% lisa, sin manija ni agarradera exterior, permitiendo la apertura ergonómica al empujar la compuerta hacia el interior de la tolva (tipo columpio) con cierre por gravedad y amortiguadores magnéticos silenciosos.</w:t>
      </w:r>
    </w:p>
    <w:p>
      <w:pPr>
        <w:spacing w:line="276" w:lineRule="auto" w:before="0" w:after="60"/>
        <w:jc w:val="both"/>
      </w:pPr>
      <w:r>
        <w:rPr>
          <w:rFonts w:ascii="Calibri" w:hAnsi="Calibri"/>
          <w:color w:val="1F2937"/>
          <w:sz w:val="20"/>
        </w:rPr>
        <w:t>• Paso 7.3 (Montaje de Ruedas Industriales con Freno): Atornillar en las 4 placas base inferiores de acero A-36 de 6.0 mm cuatro ruedas industriales giratorias de Ø 100 mm (capacidad 150 kg cada una, banda de poliuretano con núcleo de acero y baleros de precisión sellados). Verificar que las 4 palancas dentadas de freno Total-Lock traben simultáneamente el giro de rueda y el pivote giratorio.</w:t>
      </w:r>
    </w:p>
    <w:p>
      <w:pPr>
        <w:spacing w:line="276" w:lineRule="auto" w:before="0" w:after="80"/>
        <w:jc w:val="both"/>
      </w:pPr>
      <w:r>
        <w:rPr>
          <w:rFonts w:ascii="Calibri" w:hAnsi="Calibri"/>
          <w:color w:val="1F2937"/>
          <w:sz w:val="20"/>
        </w:rPr>
        <w:t>• Paso 7.4 (Montaje de Pantalla Táctil 10.1 Pulg y Copete): En el copete superior de la puerta (Z = 1,560 a 1,830 mm), montar la pantalla táctil capacitiva IPS de 10.1 Pulg (resolución 1280 × 800 px, brillo 450 nits), bocina acústica para guía de voz accesible, lector óptico de códigos QR/código de barras bidimensional con iluminación LED blanca y reloj de tiempo real RTC DS3231 con batería de respaldo CR2032.</w:t>
      </w:r>
    </w:p>
    <w:p>
      <w:pPr>
        <w:jc w:val="center"/>
      </w:pPr>
      <w:r>
        <w:drawing>
          <wp:inline xmlns:a="http://schemas.openxmlformats.org/drawingml/2006/main" xmlns:pic="http://schemas.openxmlformats.org/drawingml/2006/picture">
            <wp:extent cx="4206240" cy="5633357"/>
            <wp:docPr id="43" name="Picture 4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I.7. </w:t>
      </w:r>
      <w:r>
        <w:rPr>
          <w:rFonts w:ascii="Calibri" w:hAnsi="Calibri"/>
          <w:i/>
          <w:color w:val="4B5563"/>
          <w:sz w:val="18"/>
        </w:rPr>
        <w:t>Render oficial definitivo del prototipo ExpendeX terminado conforme a WO-07 mostrando las 3 bisagras alineadas, la compuerta basculante sin manija y el quiosco táctil de 10.1 Pulg.</w:t>
      </w:r>
    </w:p>
    <w:p>
      <w:pPr>
        <w:keepNext/>
        <w:spacing w:before="180" w:after="60"/>
      </w:pPr>
      <w:r>
        <w:rPr>
          <w:rFonts w:ascii="Calibri" w:hAnsi="Calibri"/>
          <w:b/>
          <w:color w:val="B45309"/>
          <w:sz w:val="21"/>
        </w:rPr>
        <w:t>Orden de Trabajo WO-08: Calibración de Firmware FreeRTOS, Simulación Wokwi y Pruebas de Despacho</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WO-08: Calibración de Firmware, Sincronización Wokwi y Protocolo de Aceptación</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ESP32-WROOM-32E Dual-Core, Plataforma Web y Pasarela QR Mercado Pago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Software / Entorno</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Visual Studio Code, extensión Wokwi Simulator, PlatformIO C++, Node.js WebSocket Server, API Mercado Pago REST</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Generador de patrones lógicos, osciloscopio digital, analizador de protocolos I2C/SPI, cámara termográfica FLIR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fallas en 360 ciclos de despacho (100% éxito), latencia de activación &lt; 2.0 s, corte sanitario RTC a exactamente 14.0 h</w:t>
            </w:r>
          </w:p>
        </w:tc>
      </w:tr>
    </w:tbl>
    <w:p>
      <w:pPr>
        <w:spacing w:line="276" w:lineRule="auto" w:before="0" w:after="60"/>
        <w:jc w:val="both"/>
      </w:pPr>
      <w:r>
        <w:rPr>
          <w:rFonts w:ascii="Calibri" w:hAnsi="Calibri"/>
          <w:b/>
          <w:color w:val="1F2937"/>
          <w:sz w:val="20"/>
        </w:rPr>
        <w:t xml:space="preserve">Procedimiento Operativo de Taller (WO-08): </w:t>
      </w:r>
      <w:r>
        <w:rPr>
          <w:rFonts w:ascii="Calibri" w:hAnsi="Calibri"/>
          <w:color w:val="1F2937"/>
          <w:sz w:val="20"/>
        </w:rPr>
        <w:t>Pasos de Construcción Secuencial (WO-08):</w:t>
      </w:r>
    </w:p>
    <w:p>
      <w:pPr>
        <w:spacing w:line="276" w:lineRule="auto" w:before="0" w:after="60"/>
        <w:jc w:val="both"/>
      </w:pPr>
      <w:r>
        <w:rPr>
          <w:rFonts w:ascii="Calibri" w:hAnsi="Calibri"/>
          <w:color w:val="1F2937"/>
          <w:sz w:val="20"/>
        </w:rPr>
        <w:t>• Paso 8.1 (Flasheo de Firmware Dual-Core): Compilar y cargar el firmware C++ en el microcontrolador ESP32 utilizando PlatformIO. Configurar FreeRTOS con asignación determinista de núcleos: Núcleo 0 ejecuta la pila TCP/IP, cliente WebSocket y sincronización con el servidor Node.js; Núcleo 1 ejecuta en tiempo real el algoritmo de escaneo matricial 6×6, control de giro por leva de 360° y monitoreo de la cortina óptica infrarroja de 38 kHz.</w:t>
      </w:r>
    </w:p>
    <w:p>
      <w:pPr>
        <w:spacing w:line="276" w:lineRule="auto" w:before="0" w:after="60"/>
        <w:jc w:val="both"/>
      </w:pPr>
      <w:r>
        <w:rPr>
          <w:rFonts w:ascii="Calibri" w:hAnsi="Calibri"/>
          <w:color w:val="1F2937"/>
          <w:sz w:val="20"/>
        </w:rPr>
        <w:t>• Paso 8.2 (Sincronización con Simulación Wokwi en VS Code): Iniciar el simulador Wokwi en Visual Studio Code abriendo la carpeta del proyecto. Verificar que al disparar órdenes de compra desde la interfaz web del quiosco táctil de 10.1 Pulg (o panel administrativo ExpendeX), se establezca la comunicación bidireccional por WebSocket en el puerto 3000, encendiendo el LED exacto en la matriz virtual de 36 LEDs a la par que se conmuta el canal físico en la tarjeta PCB.</w:t>
      </w:r>
    </w:p>
    <w:p>
      <w:pPr>
        <w:spacing w:line="276" w:lineRule="auto" w:before="0" w:after="60"/>
        <w:jc w:val="both"/>
      </w:pPr>
      <w:r>
        <w:rPr>
          <w:rFonts w:ascii="Calibri" w:hAnsi="Calibri"/>
          <w:color w:val="1F2937"/>
          <w:sz w:val="20"/>
        </w:rPr>
        <w:t>• Paso 8.3 (Prueba de Pago QR Mercado Pago en Vivo): Desplegar el quiosco web mediante el túnel Cloudflare seguro (HTTPS). Escanear el código QR dinámico generado con la app móvil real de Mercado Pago. Confirmar que la notificación Webhook sea recibida en el servidor local en menos de 1.45 segundos, habilitando instantáneamente el giro del motorreductor seleccionado.</w:t>
      </w:r>
    </w:p>
    <w:p>
      <w:pPr>
        <w:spacing w:line="276" w:lineRule="auto" w:before="0" w:after="60"/>
        <w:jc w:val="both"/>
      </w:pPr>
      <w:r>
        <w:rPr>
          <w:rFonts w:ascii="Calibri" w:hAnsi="Calibri"/>
          <w:color w:val="1F2937"/>
          <w:sz w:val="20"/>
        </w:rPr>
        <w:t>• Paso 8.4 (Pruebas de Despacho Continuo de Comida y Bebida): Ejecutar un protocolo de validación de 360 ciclos consecutivos: 120 despachos con recipientes cuadrados de 3 divisiones llenos (650 g cada uno) en las bahías laterales de 190 mm, y 240 despachos de botellas de refresco y agua en los 4 carriles centrales. Comprobar que no se presente ningún atasco mecánico (0% atoramientos) y que la compuerta basculante amortigüe la caída sin derrames.</w:t>
      </w:r>
    </w:p>
    <w:p>
      <w:pPr>
        <w:spacing w:line="276" w:lineRule="auto" w:before="0" w:after="80"/>
        <w:jc w:val="both"/>
      </w:pPr>
      <w:r>
        <w:rPr>
          <w:rFonts w:ascii="Calibri" w:hAnsi="Calibri"/>
          <w:color w:val="1F2937"/>
          <w:sz w:val="20"/>
        </w:rPr>
        <w:t>• Paso 8.5 (Cierre de Protocolo QC y Entrega): Verificar que el reloj RTC bloquee automáticamente las ranuras que superen 14 horas de anaquel según NOM-251, y que el termostato mantenga la cabina entre 2.0 °C y 4.0 °C de forma ininterrumpida. Firmar el acta de conformidad de ingeniería y liberar el prototipo para servicio continuo.</w:t>
      </w:r>
    </w:p>
    <w:p>
      <w:pPr>
        <w:jc w:val="center"/>
      </w:pPr>
      <w:r>
        <w:drawing>
          <wp:inline xmlns:a="http://schemas.openxmlformats.org/drawingml/2006/main" xmlns:pic="http://schemas.openxmlformats.org/drawingml/2006/picture">
            <wp:extent cx="4754880" cy="2916959"/>
            <wp:docPr id="44" name="Picture 4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I.8a. </w:t>
      </w:r>
      <w:r>
        <w:rPr>
          <w:rFonts w:ascii="Calibri" w:hAnsi="Calibri"/>
          <w:i/>
          <w:color w:val="4B5563"/>
          <w:sz w:val="18"/>
        </w:rPr>
        <w:t>Validación en simulación Wokwi (WO-08 Paso 1/2): conmutación en la matriz de 36 LEDs del canal M-A6 para el platillo de comida, con el relevador del motocompresor activo.</w:t>
      </w:r>
    </w:p>
    <w:p>
      <w:pPr>
        <w:jc w:val="center"/>
      </w:pPr>
      <w:r>
        <w:drawing>
          <wp:inline xmlns:a="http://schemas.openxmlformats.org/drawingml/2006/main" xmlns:pic="http://schemas.openxmlformats.org/drawingml/2006/picture">
            <wp:extent cx="4754880" cy="2808332"/>
            <wp:docPr id="45" name="Picture 4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I.8b. </w:t>
      </w:r>
      <w:r>
        <w:rPr>
          <w:rFonts w:ascii="Calibri" w:hAnsi="Calibri"/>
          <w:i/>
          <w:color w:val="4B5563"/>
          <w:sz w:val="18"/>
        </w:rPr>
        <w:t>Validación en simulación Wokwi (WO-08 Paso 2/2): conmutación secuencial del canal M-C2 para la bebida fría tras la confirmación óptica del sensor de caída IR.</w:t>
      </w:r>
    </w:p>
    <w:p>
      <w:pPr>
        <w:keepNext/>
        <w:spacing w:before="180" w:after="60"/>
      </w:pPr>
      <w:r>
        <w:rPr>
          <w:rFonts w:ascii="Calibri" w:hAnsi="Calibri"/>
          <w:b/>
          <w:color w:val="B45309"/>
          <w:sz w:val="21"/>
        </w:rPr>
        <w:t>I.1 Matriz Consolidada de Tolerancias Dimensionales de Taller (Normas ASTM / ISO / IPC)</w:t>
      </w:r>
    </w:p>
    <w:p>
      <w:pPr>
        <w:spacing w:before="60" w:after="160" w:line="276" w:lineRule="auto"/>
        <w:jc w:val="center"/>
      </w:pPr>
      <w:r>
        <w:rPr>
          <w:rFonts w:ascii="Calibri" w:hAnsi="Calibri"/>
          <w:b/>
          <w:color w:val="0F2C59"/>
          <w:sz w:val="18"/>
        </w:rPr>
        <w:t xml:space="preserve">Tabla I.1: Especificaciones consolidadas de tolerancias y normas de fabricación para el prototipo físico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Prototipo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de Referencia</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Dimensión Nominal</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Admisible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de Verificación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Bastidor PTR Exterior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ASTM A-500 Grado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1.0 mm (Diagonal ± 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Cinta métrica láser calibrada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Paredes Laterales Lisas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A-1008 (Cold Rolled Cal. 18)</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1.21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Planicidad superficial ± 0.5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Regla rectificada de precisión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Deslizantes (x6)</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A-653 (Galvanizado Cal. 18)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943.6 × 650 ×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0.25 mm (Holgura 3.2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 Mitutoyo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Comida (x12)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A-313 (AISI 302 Ø 7.0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paso 118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 (Diámetro y paso)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Vernier y escantillón helicoidal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Bebidas (x24)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A-228 (Templado Ø 4.0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paso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 (Diámetro y paso)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Espesor Aislamiento Poliuretano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 / ASTM C-591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40.0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1.50 mm (Densidad 40 kg/m³)</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 ultrasónica de espesores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Pistas de Potencia PCB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Clase 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W = 3.50 mm (1 oz Cu)</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 (Elevación T &lt;= 5°C)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Micrómetro óptico e inspección AOI</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Galvánico Optos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1577 / IEC 60747-5-5</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5,000 V RMS por 1 minuto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de fuga &lt; 50 µA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Probador de rigidez dieléctrica Hi-Pot</w:t>
            </w:r>
          </w:p>
        </w:tc>
      </w:tr>
    </w:tbl>
    <w:p>
      <w:pPr>
        <w:keepNext/>
        <w:spacing w:before="180" w:after="60"/>
      </w:pPr>
      <w:r>
        <w:rPr>
          <w:rFonts w:ascii="Calibri" w:hAnsi="Calibri"/>
          <w:b/>
          <w:color w:val="B45309"/>
          <w:sz w:val="21"/>
        </w:rPr>
        <w:t>I.2 Lista de Control de Calidad e Inspección Final de Recepción (QC Inspection Checklist)</w:t>
      </w:r>
    </w:p>
    <w:p>
      <w:pPr>
        <w:spacing w:before="60" w:after="160" w:line="276" w:lineRule="auto"/>
        <w:jc w:val="center"/>
      </w:pPr>
      <w:r>
        <w:rPr>
          <w:rFonts w:ascii="Calibri" w:hAnsi="Calibri"/>
          <w:b/>
          <w:color w:val="0F2C59"/>
          <w:sz w:val="18"/>
        </w:rPr>
        <w:t xml:space="preserve">Tabla I.2: Checklist de inspección de calidad final y certificación de puesta en marcha del prototipo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 Control QC</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de Inspección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Método de Prueba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Verificado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QC-01: Rigidez y Estructura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Deformación en vigas bajo carga nominal de 23.12 kg &lt;= 1.50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Ensayo de carga estática con comparador de carátula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1.32 mm en centro de bandeja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QC-02: Paredes Exteriores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Ambas paredes laterales (izquierda y derecha) 100% lisas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visual y palpado rectificado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sólidas sin nervios ni perfiles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QC-03: Herrajes de Puerta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alineadas en puerta y compuerta con 2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a 120° y empuje basculante suave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puerta OK; 2 compuerta OK</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QC-04: Dispensación Comida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éxito en recipientes cuadrados de 3 div. sin atascos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ciclos continuos de prueba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entregas exitosas (0 atoramientos)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QC-05: Cadena de Frío</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en cabina de 2.0 °C a 4.0 °C con T_ext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Datalogger 6 canales termopares en charolas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gradiente ΔT = 0.90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QC-06: Electrónica PCB 6×6</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Picos de corte enclavados por debajo de 25 V en 36 canales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Captura de osciloscopio en drenador de MOSFETs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con Schottky 1N5822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QC-07: Plataforma Web y QR</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Cobro QR Mercado Pago y conmutación Wokwi &lt; 2.0 segundos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Transacciones en vivo mediante túnel HTTPS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media de 1.45 s confirmada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QC-08: Seguridad Sanitaria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de producto al cumplirse 14 horas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Avance de reloj RTC DS3231 a 840 minutos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Inhabilitación automática de canal cumplida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