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56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80" w:after="80"/>
        <w:jc w:val="center"/>
      </w:pPr>
      <w:r>
        <w:rPr>
          <w:rFonts w:ascii="Calibri" w:hAnsi="Calibri"/>
          <w:b/>
          <w:i/>
          <w:color w:val="1F2937"/>
          <w:sz w:val="23"/>
        </w:rPr>
        <w:t>U.A: Proyecto de Ingeniería Aplicada (IEA)</w:t>
        <w:br/>
      </w:r>
      <w:r>
        <w:rPr>
          <w:rFonts w:ascii="Calibri" w:hAnsi="Calibri"/>
          <w:b/>
          <w:i/>
          <w:color w:val="0F2C59"/>
          <w:sz w:val="24"/>
        </w:rPr>
        <w:t>AF 5: MARCO TEÓRICO (REPORTE MAESTRO DE INGENIERÍA)</w:t>
        <w:br/>
        <w:br/>
      </w:r>
      <w:r>
        <w:rPr>
          <w:rFonts w:ascii="Calibri" w:hAnsi="Calibri"/>
          <w:b/>
          <w:color w:val="0F2C59"/>
          <w:sz w:val="23"/>
        </w:rPr>
        <w:t>«MARCO TEÓRICO, FUNDAMENTOS CIENTÍFICO-MATEMÁTICOS, ESTADO DEL ARTE Y MODELACIÓN MECATRÓNICA DE UN MICRO-RESTAURANTE AUTOMATIZADO DESATENDIDO: SISTEMA VENDING IOT HÍBRIDO CLIMATIZADO (XPENDEX) PARA ALIMENTOS PREPARADOS FRESCOS DEL DÍA ($120 MXN) Y BEBIDAS REFRIGERADAS CON CONTROL MATRICIAL 6X6 EN EASYEDA PCB Y DESPACHO SECUENCIAL MULTI-RANURA FIFO»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(Acceso Abierto vía Enlace): https://github.com/Anubys6/ExpendeX-Smart-Vending-FIME</w:t>
        <w:br/>
      </w:r>
      <w:r>
        <w:rPr>
          <w:rFonts w:ascii="Calibri" w:hAnsi="Calibri"/>
          <w:i/>
          <w:color w:val="475569"/>
          <w:sz w:val="17"/>
        </w:rPr>
        <w:t>En estricto apego al Programa de Evidencias de Aprendizaje de la U.A. Proyecto de Ingeniería Aplicada (IEAI)</w:t>
      </w:r>
      <w:r>
        <w:rPr>
          <w:rFonts w:ascii="Calibri" w:hAnsi="Calibri"/>
          <w:i/>
          <w:color w:val="475569"/>
          <w:sz w:val="17"/>
        </w:rPr>
        <w:t>En estricto apego al Programa de Evidencias de Aprendizaje de la U.A. Proyecto de Ingeniería Aplicada (IEAI)</w:t>
      </w:r>
      <w:r>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 (ACCESO ABIERTO VÍA ENLACE)</w:t>
              <w:br/>
            </w:r>
            <w:r>
              <w:rPr>
                <w:rFonts w:ascii="Calibri" w:hAnsi="Calibri"/>
                <w:i/>
                <w:color w:val="1F2937"/>
                <w:sz w:val="19"/>
              </w:rPr>
              <w:t>En estricto apego a los fundamentos científicos, matemáticos y tecnológicos establecidos en el Programa de Evidencias de Aprendizaje de la Unidad de Aprendizaje: Proyecto de Ingeniería Aplicada (IEAI) de la Facultad de Ingeniería Mecánica y Eléctrica (FIME - UANL), 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configurado con acceso público directo vía enlace para que cualquier docente, evaluador o estudiante con el hipervínculo acceda de inmediato sin barreras de autenticación en:</w:t>
              <w:br/>
              <w:br/>
              <w:t>• URL Oficial (Acceso Abierto vía Enlace): https://github.com/Anubys6/ExpendeX-Smart-Vending-FIME</w:t>
              <w:br/>
              <w:t>• Licencia: MIT License (Código abierto institucional FIME UANL)</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0" w:after="80"/>
      </w:pPr>
    </w:p>
    <w:p>
      <w:pPr>
        <w:keepNext/>
        <w:spacing w:before="260" w:after="80"/>
        <w:pBdr>
          <w:bottom w:val="single" w:sz="6" w:space="2" w:color="1E40AF"/>
        </w:pBdr>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0" w:after="80"/>
      </w:pPr>
    </w:p>
    <w:p>
      <w:pPr>
        <w:keepNext/>
        <w:spacing w:before="260" w:after="80"/>
        <w:pBdr>
          <w:bottom w:val="single" w:sz="6" w:space="2" w:color="1E40AF"/>
        </w:pBdr>
      </w:pPr>
      <w:r>
        <w:rPr>
          <w:rFonts w:ascii="Calibri" w:hAnsi="Calibri"/>
          <w:b/>
          <w:color w:val="1E40AF"/>
          <w:sz w:val="24"/>
        </w:rPr>
        <w:t>4.8 Din?mica de Fluidos Computacional y Aerodin?mica de Toberas Laminares en Plenum Posterior</w:t>
      </w:r>
    </w:p>
    <w:p>
      <w:pPr>
        <w:spacing w:line="276" w:lineRule="auto" w:before="0" w:after="6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76" w:lineRule="auto" w:before="0" w:after="6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76" w:lineRule="auto" w:before="0" w:after="60"/>
        <w:jc w:val="both"/>
      </w:pPr>
      <w:r>
        <w:rPr>
          <w:rFonts w:ascii="Calibri" w:hAnsi="Calibri"/>
          <w:color w:val="1F2937"/>
          <w:sz w:val="20"/>
        </w:rPr>
        <w:t>Q_{\text{total}} = \sum_{i=1}^6 Q_i = \sum_{i=1}^6 A_i \cdot v_i = \text{constante} = 0.0684 \text{ m}^3\text{/s}</w:t>
      </w:r>
    </w:p>
    <w:p>
      <w:pPr>
        <w:spacing w:line="276" w:lineRule="auto" w:before="0" w:after="6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60"/>
        <w:jc w:val="both"/>
      </w:pPr>
      <w:r>
        <w:rPr>
          <w:rFonts w:ascii="Calibri" w:hAnsi="Calibri"/>
          <w:color w:val="1F2937"/>
          <w:sz w:val="20"/>
        </w:rPr>
        <w:t>A_i = \frac{Q_i}{v_{\text{tobera}}} = \frac{Q_{\text{total}} / 6}{\sqrt{2 \Delta P_i / \rho}}</w:t>
      </w:r>
    </w:p>
    <w:p>
      <w:pPr>
        <w:spacing w:line="276" w:lineRule="auto" w:before="0" w:after="8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40" w:line="276" w:lineRule="auto"/>
            </w:pPr>
            <w:r>
              <w:rPr>
                <w:rFonts w:ascii="Calibri" w:hAnsi="Calibri"/>
                <w:b/>
                <w:color w:val="1E40AF"/>
                <w:sz w:val="19"/>
              </w:rPr>
              <w:t>▶ Paso 1: Parámetros del Recinto y Condiciones Ambientales Críticas</w:t>
            </w:r>
          </w:p>
          <w:p>
            <w:pPr>
              <w:keepLines/>
              <w:spacing w:before="0" w:after="60" w:line="276" w:lineRule="auto"/>
              <w:jc w:val="both"/>
            </w:pPr>
            <w:r>
              <w:rPr>
                <w:rFonts w:ascii="Calibri" w:hAnsi="Calibri"/>
                <w:color w:val="1F2937"/>
                <w:sz w:val="18"/>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estos parámetros calculamos la resistencia térmica combinada de las paredes y del ventanal frontal.</w:t>
            </w:r>
          </w:p>
          <w:p>
            <w:pPr>
              <w:keepLines/>
              <w:spacing w:before="120" w:after="40" w:line="276" w:lineRule="auto"/>
            </w:pPr>
            <w:r>
              <w:rPr>
                <w:rFonts w:ascii="Calibri" w:hAnsi="Calibri"/>
                <w:b/>
                <w:color w:val="1E40AF"/>
                <w:sz w:val="19"/>
              </w:rPr>
              <w:t>▶ Paso 2: Coeficiente Global y Carga Térmica por Paredes Conductoras</w:t>
            </w:r>
          </w:p>
          <w:p>
            <w:pPr>
              <w:keepLines/>
              <w:spacing w:before="0" w:after="60" w:line="276" w:lineRule="auto"/>
              <w:jc w:val="both"/>
            </w:pPr>
            <w:r>
              <w:rPr>
                <w:rFonts w:ascii="Calibri" w:hAnsi="Calibri"/>
                <w:color w:val="1F2937"/>
                <w:sz w:val="18"/>
              </w:rPr>
              <w:t>Fundamento Teórico: Aplicando la analogía de resistencias térmicas en serie para conducción y convección:</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transmisión a través de las paredes aisladas con 40 mm de poliuretano es de apenas 82.47 W.</w:t>
            </w:r>
          </w:p>
          <w:p>
            <w:pPr>
              <w:keepLines/>
              <w:spacing w:before="120" w:after="40" w:line="276" w:lineRule="auto"/>
            </w:pPr>
            <w:r>
              <w:rPr>
                <w:rFonts w:ascii="Calibri" w:hAnsi="Calibri"/>
                <w:b/>
                <w:color w:val="1E40AF"/>
                <w:sz w:val="19"/>
              </w:rPr>
              <w:t>▶ Paso 3: Carga Térmica a través del Doble Vidrio Templado Frontal</w:t>
            </w:r>
          </w:p>
          <w:p>
            <w:pPr>
              <w:keepLines/>
              <w:spacing w:before="0" w:after="60" w:line="276" w:lineRule="auto"/>
              <w:jc w:val="both"/>
            </w:pPr>
            <w:r>
              <w:rPr>
                <w:rFonts w:ascii="Calibri" w:hAnsi="Calibri"/>
                <w:color w:val="1F2937"/>
                <w:sz w:val="18"/>
              </w:rPr>
              <w:t>Fundamento Teórico: El cristal doble de 4+4 mm con cámara de aire deshidratada aporta calor por transmisión y radiación infrarroja:</w:t>
            </w:r>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aporta 102.41 W. La cámara de aire evita el empañamiento en la cara exterior.</w:t>
            </w:r>
          </w:p>
          <w:p>
            <w:pPr>
              <w:keepLines/>
              <w:spacing w:before="120" w:after="40" w:line="276" w:lineRule="auto"/>
            </w:pPr>
            <w:r>
              <w:rPr>
                <w:rFonts w:ascii="Calibri" w:hAnsi="Calibri"/>
                <w:b/>
                <w:color w:val="1E40AF"/>
                <w:sz w:val="19"/>
              </w:rPr>
              <w:t>▶ Paso 4: Cargas Térmicas Internas por Ventilación, Iluminación e Infiltraciones</w:t>
            </w:r>
          </w:p>
          <w:p>
            <w:pPr>
              <w:keepLines/>
              <w:spacing w:before="0" w:after="60" w:line="276" w:lineRule="auto"/>
              <w:jc w:val="both"/>
            </w:pPr>
            <w:r>
              <w:rPr>
                <w:rFonts w:ascii="Calibri" w:hAnsi="Calibri"/>
                <w:color w:val="1F2937"/>
                <w:sz w:val="18"/>
              </w:rPr>
              <w:t>Fundamento Teórico: Siguiendo las directrices del Manual ASHRAE de Refrigeración Comercial para máquinas vending:</w:t>
            </w:r>
          </w:p>
          <w:p>
            <w:pPr>
              <w:jc w:val="center"/>
              <w:keepLines/>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internas</m:t>
                    </m:r>
                  </m:sub>
                </m:sSub>
                <m:r>
                  <m:t>=22.0+16.0+65.0+95.0=198.00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carga interna representa 198.00 W, donde el enfriamiento de comidas recién cargadas constituye el aporte principal.</w:t>
            </w:r>
          </w:p>
          <w:p>
            <w:pPr>
              <w:keepLines/>
              <w:spacing w:before="120" w:after="40" w:line="276" w:lineRule="auto"/>
            </w:pPr>
            <w:r>
              <w:rPr>
                <w:rFonts w:ascii="Calibri" w:hAnsi="Calibri"/>
                <w:b/>
                <w:color w:val="1E40AF"/>
                <w:sz w:val="19"/>
              </w:rPr>
              <w:t>▶ Paso 5: Carga Térmica Total y Selección de la Unidad Frigorífica BOWA</w:t>
            </w:r>
          </w:p>
          <w:p>
            <w:pPr>
              <w:keepLines/>
              <w:spacing w:before="0" w:after="60" w:line="276" w:lineRule="auto"/>
              <w:jc w:val="both"/>
            </w:pPr>
            <w:r>
              <w:rPr>
                <w:rFonts w:ascii="Calibri" w:hAnsi="Calibri"/>
                <w:color w:val="1F2937"/>
                <w:sz w:val="18"/>
              </w:rPr>
              <w:t>Fundamento Teórico: La demanda de refrigeración total requerida es la suma de todas las fuentes de ganancia térmica:</w:t>
            </w:r>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60" w:after="60"/>
            </w:pPr>
            <m:oMathPara>
              <m:oMath>
                <m:r>
                  <m:rPr>
                    <m:nor/>
                  </m:rPr>
                  <m:t>Capacidad Compresor 1/3 HP (R290)</m:t>
                </m:r>
                <m:r>
                  <m:t>=780.00</m:t>
                </m:r>
                <m:r>
                  <m:rPr>
                    <m:nor/>
                  </m:rPr>
                  <m:t> W</m:t>
                </m:r>
                <m:r>
                  <m:t>≈2,661</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un factor de seguridad de 2.04, el compresor operará con un ciclo de trabajo del 49%, permitiendo períodos de descanso regulares que prolongan su vida útil y ahorran energía.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carga térmica total es de 382.88 W. La unidad frigorífica BOWA de 1/3 HP seleccionada entrega 780 W, ofreciendo un factor de seguridad térmico de 2.04 (104% de holgura).</w:t>
            </w:r>
          </w:p>
        </w:tc>
      </w:tr>
    </w:tbl>
    <w:p>
      <w:pPr>
        <w:spacing w:before="0" w:after="80"/>
      </w:pPr>
    </w:p>
    <w:p>
      <w:pPr>
        <w:keepNext/>
        <w:spacing w:before="260" w:after="80"/>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Est?tico y Reacciones de Apoyo Lateral</w:t>
            </w:r>
          </w:p>
          <w:p>
            <w:pPr>
              <w:keepLines/>
              <w:spacing w:before="0" w:after="60" w:line="276" w:lineRule="auto"/>
              <w:jc w:val="both"/>
            </w:pPr>
            <w:r>
              <w:rPr>
                <w:rFonts w:ascii="Calibri" w:hAnsi="Calibri"/>
                <w:color w:val="1F2937"/>
                <w:sz w:val="18"/>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corredera telesc?pica industrial de baleros soporta una reacci?n vertical est?tica de 113.41 N (11.56 kgf).</w:t>
            </w:r>
          </w:p>
          <w:p>
            <w:pPr>
              <w:keepLines/>
              <w:spacing w:before="120" w:after="40" w:line="276" w:lineRule="auto"/>
            </w:pPr>
            <w:r>
              <w:rPr>
                <w:rFonts w:ascii="Calibri" w:hAnsi="Calibri"/>
                <w:b/>
                <w:color w:val="1E40AF"/>
                <w:sz w:val="19"/>
              </w:rPr>
              <w:t>▶ Paso 3: Diagrama de Momentos Flectores y Momento M?ximo en el Centro de Luz</w:t>
            </w:r>
          </w:p>
          <w:p>
            <w:pPr>
              <w:keepLines/>
              <w:spacing w:before="0" w:after="60" w:line="276" w:lineRule="auto"/>
              <w:jc w:val="both"/>
            </w:pPr>
            <w:r>
              <w:rPr>
                <w:rFonts w:ascii="Calibri" w:hAnsi="Calibri"/>
                <w:color w:val="1F2937"/>
                <w:sz w:val="18"/>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cr?tico actuante en el centro de la charola es de 35.16 N?m, solicitando a tracci?n las fibras inferiores.</w:t>
            </w:r>
          </w:p>
          <w:p>
            <w:pPr>
              <w:keepLines/>
              <w:spacing w:before="120" w:after="40" w:line="276" w:lineRule="auto"/>
            </w:pPr>
            <w:r>
              <w:rPr>
                <w:rFonts w:ascii="Calibri" w:hAnsi="Calibri"/>
                <w:b/>
                <w:color w:val="1E40AF"/>
                <w:sz w:val="19"/>
              </w:rPr>
              <w:t>▶ Paso 4: C?lculo de la Deflexi?n El?stica M?xima Central bajo Euler-Bernoulli</w:t>
            </w:r>
          </w:p>
          <w:p>
            <w:pPr>
              <w:keepLines/>
              <w:spacing w:before="0" w:after="60" w:line="276" w:lineRule="auto"/>
              <w:jc w:val="both"/>
            </w:pPr>
            <w:r>
              <w:rPr>
                <w:rFonts w:ascii="Calibri" w:hAnsi="Calibri"/>
                <w:color w:val="1F2937"/>
                <w:sz w:val="18"/>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deflexi?n el?stica m?xima en el centro es de 1.28 mm, cumpliendo con holgura el l?mite admisible de rigidez industrial (L/250 = 3.80 mm) con un factor de seguridad de FS = 2.97.</w:t>
            </w:r>
          </w:p>
          <w:p>
            <w:pPr>
              <w:keepLines/>
              <w:spacing w:before="120" w:after="40" w:line="276" w:lineRule="auto"/>
            </w:pPr>
            <w:r>
              <w:rPr>
                <w:rFonts w:ascii="Calibri" w:hAnsi="Calibri"/>
                <w:b/>
                <w:color w:val="1E40AF"/>
                <w:sz w:val="19"/>
              </w:rPr>
              <w:t>▶ Paso 5: Verificaci?n de Esfuerzos Normales de Flexi?n (Criterio de Navier)</w:t>
            </w:r>
          </w:p>
          <w:p>
            <w:pPr>
              <w:keepLines/>
              <w:spacing w:before="0" w:after="60" w:line="276" w:lineRule="auto"/>
              <w:jc w:val="both"/>
            </w:pPr>
            <w:r>
              <w:rPr>
                <w:rFonts w:ascii="Calibri" w:hAnsi="Calibri"/>
                <w:color w:val="1F2937"/>
                <w:sz w:val="18"/>
              </w:rPr>
              <w:t>Fundamento Te?rico: Ecuaci?n de Navier para esfuerzos normales de flexi?n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l?mite de fluencia del acero estructural ASTM A-500 Grado B (Sy = 250 MPa), otorgando un factor de seguridad est?tico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pestañas dobladas en perfil 'C', la deflexión vertical máxima en el centro es de solo 0.088 mm, garantizando un desplazamiento suave sobre las correderas telescópicas sin riesgo de encasquillamiento.</w:t>
            </w:r>
          </w:p>
        </w:tc>
      </w:tr>
    </w:tbl>
    <w:p>
      <w:pPr>
        <w:spacing w:before="0" w:after="80"/>
      </w:pPr>
    </w:p>
    <w:p>
      <w:pPr>
        <w:keepNext/>
        <w:spacing w:before="260" w:after="80"/>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40" w:line="276" w:lineRule="auto"/>
            </w:pPr>
            <w:r>
              <w:rPr>
                <w:rFonts w:ascii="Calibri" w:hAnsi="Calibri"/>
                <w:b/>
                <w:color w:val="1E40AF"/>
                <w:sz w:val="19"/>
              </w:rPr>
              <w:t>▶ Paso 1: Par Torsor de la Espiral Gigante Lateral de Comida Casera (? 144 mm)</w:t>
            </w:r>
          </w:p>
          <w:p>
            <w:pPr>
              <w:keepLines/>
              <w:spacing w:before="0" w:after="60" w:line="276" w:lineRule="auto"/>
              <w:jc w:val="both"/>
            </w:pPr>
            <w:r>
              <w:rPr>
                <w:rFonts w:ascii="Calibri" w:hAnsi="Calibri"/>
                <w:color w:val="1F2937"/>
                <w:sz w:val="18"/>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60" w:after="60"/>
            </w:pPr>
            <m:oMathPara>
              <m:oMath>
                <m:sSub>
                  <m:e>
                    <m:r>
                      <m:t>F</m:t>
                    </m:r>
                  </m:e>
                  <m:sub>
                    <m:r>
                      <m:rPr>
                        <m:nor/>
                      </m:rPr>
                      <m:t>friccion</m:t>
                    </m:r>
                  </m:sub>
                </m:sSub>
                <m:r>
                  <m:t>=μ·m·g=0.22·(24.525</m:t>
                </m:r>
                <m:r>
                  <m:rPr>
                    <m:nor/>
                  </m:rPr>
                  <m:t> N</m:t>
                </m:r>
                <m:r>
                  <m:t>)=5.40</m:t>
                </m:r>
                <m:r>
                  <m:rPr>
                    <m:nor/>
                  </m:rPr>
                  <m:t> N</m:t>
                </m:r>
              </m:oMath>
            </m:oMathPara>
          </w:p>
          <w:p>
            <w:pPr>
              <w:jc w:val="center"/>
              <w:keepLines/>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torsor m?ximo requerido durante el arranque en la espiral gigante es de 1.45 N?m, plenamente suministrado por el motorreductor 24V DC (par nominal de 2.20 N?m) con una reserva din?mica del 51.7%.</w:t>
            </w:r>
          </w:p>
          <w:p>
            <w:pPr>
              <w:keepLines/>
              <w:spacing w:before="120" w:after="40" w:line="276" w:lineRule="auto"/>
            </w:pPr>
            <w:r>
              <w:rPr>
                <w:rFonts w:ascii="Calibri" w:hAnsi="Calibri"/>
                <w:b/>
                <w:color w:val="1E40AF"/>
                <w:sz w:val="19"/>
              </w:rPr>
              <w:t>▶ Paso 2: Par Torsor de las Espirales Centrales de Bebidas Fr?as (? 70 mm)</w:t>
            </w:r>
          </w:p>
          <w:p>
            <w:pPr>
              <w:keepLines/>
              <w:spacing w:before="0" w:after="60" w:line="276" w:lineRule="auto"/>
              <w:jc w:val="both"/>
            </w:pPr>
            <w:r>
              <w:rPr>
                <w:rFonts w:ascii="Calibri" w:hAnsi="Calibri"/>
                <w:color w:val="1F2937"/>
                <w:sz w:val="18"/>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60" w:after="60"/>
            </w:pPr>
            <m:oMathPara>
              <m:oMath>
                <m:sSub>
                  <m:e>
                    <m:r>
                      <m:t>F</m:t>
                    </m:r>
                  </m:e>
                  <m:sub>
                    <m:r>
                      <m:rPr>
                        <m:nor/>
                      </m:rPr>
                      <m:t>friccion, bebidas</m:t>
                    </m:r>
                  </m:sub>
                </m:sSub>
                <m:r>
                  <m:t>=μ·m·g=0.18·(26.09</m:t>
                </m:r>
                <m:r>
                  <m:rPr>
                    <m:nor/>
                  </m:rPr>
                  <m:t> N</m:t>
                </m:r>
                <m:r>
                  <m:t>)=4.70</m:t>
                </m:r>
                <m:r>
                  <m:rPr>
                    <m:nor/>
                  </m:rPr>
                  <m:t> N</m:t>
                </m:r>
              </m:oMath>
            </m:oMathPara>
          </w:p>
          <w:p>
            <w:pPr>
              <w:jc w:val="center"/>
              <w:keepLines/>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de arranque en bebidas es de 0.65 N?m, otorgando al motorreductor 24V DC un holgado factor de seguridad de FS = 3.38 (238% de reserva din?mica).</w:t>
            </w:r>
          </w:p>
          <w:p>
            <w:pPr>
              <w:keepLines/>
              <w:spacing w:before="120" w:after="40" w:line="276" w:lineRule="auto"/>
            </w:pPr>
            <w:r>
              <w:rPr>
                <w:rFonts w:ascii="Calibri" w:hAnsi="Calibri"/>
                <w:b/>
                <w:color w:val="1E40AF"/>
                <w:sz w:val="19"/>
              </w:rPr>
              <w:t>▶ Paso 3: Potencia Mec?nica y Velocidad Angular de Salida</w:t>
            </w:r>
          </w:p>
          <w:p>
            <w:pPr>
              <w:keepLines/>
              <w:spacing w:before="0" w:after="60" w:line="276" w:lineRule="auto"/>
              <w:jc w:val="both"/>
            </w:pPr>
            <w:r>
              <w:rPr>
                <w:rFonts w:ascii="Calibri" w:hAnsi="Calibri"/>
                <w:color w:val="1F2937"/>
                <w:sz w:val="18"/>
              </w:rPr>
              <w:t>Fundamento Te?rico: Potencia rotacional P = T ? omega. Con velocidad de rotaci?n regulada a N = 60 RPM (omega = 6.28 rad/s, ciclo de 1.0 s por vuelta completa de 360?):</w:t>
            </w:r>
          </w:p>
          <w:p>
            <w:pPr>
              <w:jc w:val="center"/>
              <w:keepLines/>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demanda mec?nica pico se sit?a en 9.11 W por canal, cubierta holgadamente por el motorreductor 24V DC de 15 W nominales.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par dinámico requerido es de 0.605 N·m. El motorreductor seleccionado entrega 1.80 N·m (FS = 2.98), asegurando un avance libre de atascos.</w:t>
            </w:r>
          </w:p>
        </w:tc>
      </w:tr>
    </w:tbl>
    <w:p>
      <w:pPr>
        <w:spacing w:before="0" w:after="80"/>
      </w:pPr>
    </w:p>
    <w:p>
      <w:pPr>
        <w:keepNext/>
        <w:spacing w:before="260" w:after="80"/>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40" w:line="276" w:lineRule="auto"/>
            </w:pPr>
            <w:r>
              <w:rPr>
                <w:rFonts w:ascii="Calibri" w:hAnsi="Calibri"/>
                <w:b/>
                <w:color w:val="1E40AF"/>
                <w:sz w:val="19"/>
              </w:rPr>
              <w:t>▶ Paso 1: Parámetros de la Ventana Operativa de Venta Diaria</w:t>
            </w:r>
          </w:p>
          <w:p>
            <w:pPr>
              <w:keepLines/>
              <w:spacing w:before="0" w:after="60" w:line="276" w:lineRule="auto"/>
              <w:jc w:val="both"/>
            </w:pPr>
            <w:r>
              <w:rPr>
                <w:rFonts w:ascii="Calibri" w:hAnsi="Calibri"/>
                <w:color w:val="1F2937"/>
                <w:sz w:val="18"/>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60" w:after="60"/>
            </w:pPr>
            <m:oMathPara>
              <m:oMath>
                <m:sSub>
                  <m:e>
                    <m:r>
                      <m:t>t</m:t>
                    </m:r>
                  </m:e>
                  <m:sub>
                    <m:r>
                      <m:rPr>
                        <m:nor/>
                      </m:rPr>
                      <m:t>operativo\_maximo</m:t>
                    </m:r>
                  </m:sub>
                </m:sSub>
                <m:r>
                  <m:t>=14.0</m:t>
                </m:r>
                <m:r>
                  <m:rPr>
                    <m:nor/>
                  </m:rPr>
                  <m:t> horas</m:t>
                </m:r>
                <m:r>
                  <m:t>=840</m:t>
                </m:r>
                <m:r>
                  <m:rPr>
                    <m:nor/>
                  </m:rPr>
                  <m:t> minutos</m:t>
                </m:r>
              </m:oMath>
            </m:oMathPara>
          </w:p>
          <w:p>
            <w:pPr>
              <w:jc w:val="center"/>
              <w:keepLines/>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reloj RTC DS3231 lleva la cuenta en minutos con respaldo de batería de litio, inmune a cortes de energía eléctrica.</w:t>
            </w:r>
          </w:p>
          <w:p>
            <w:pPr>
              <w:keepLines/>
              <w:spacing w:before="120" w:after="40" w:line="276" w:lineRule="auto"/>
            </w:pPr>
            <w:r>
              <w:rPr>
                <w:rFonts w:ascii="Calibri" w:hAnsi="Calibri"/>
                <w:b/>
                <w:color w:val="1E40AF"/>
                <w:sz w:val="19"/>
              </w:rPr>
              <w:t>▶ Paso 2: Algoritmo de Bloqueo Sanitario Fail-Safe en Firmware</w:t>
            </w:r>
          </w:p>
          <w:p>
            <w:pPr>
              <w:keepLines/>
              <w:spacing w:before="0" w:after="60" w:line="276" w:lineRule="auto"/>
              <w:jc w:val="both"/>
            </w:pPr>
            <w:r>
              <w:rPr>
                <w:rFonts w:ascii="Calibri" w:hAnsi="Calibri"/>
                <w:color w:val="1F2937"/>
                <w:sz w:val="18"/>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temporizador de turno con reloj de tiempo real DS3231 garantiza que ningún alimento permanezca más de 14 horas en la máquina, cumpliendo con la política de frescura del día.</w:t>
            </w:r>
          </w:p>
        </w:tc>
      </w:tr>
    </w:tbl>
    <w:p>
      <w:pPr>
        <w:spacing w:before="0" w:after="80"/>
      </w:pPr>
    </w:p>
    <w:p>
      <w:pPr>
        <w:keepNext/>
        <w:spacing w:before="260" w:after="80"/>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40" w:line="276" w:lineRule="auto"/>
            </w:pPr>
            <w:r>
              <w:rPr>
                <w:rFonts w:ascii="Calibri" w:hAnsi="Calibri"/>
                <w:b/>
                <w:color w:val="1E40AF"/>
                <w:sz w:val="19"/>
              </w:rPr>
              <w:t>▶ Paso 1: Tasa de Fallas Compuesta del Sistema en Serie</w:t>
            </w:r>
          </w:p>
          <w:p>
            <w:pPr>
              <w:keepLines/>
              <w:spacing w:before="0" w:after="60" w:line="276" w:lineRule="auto"/>
              <w:jc w:val="both"/>
            </w:pPr>
            <w:r>
              <w:rPr>
                <w:rFonts w:ascii="Calibri" w:hAnsi="Calibri"/>
                <w:color w:val="1F2937"/>
                <w:sz w:val="18"/>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combinada de fallas del equipo completo es de 6.8 × 10⁻⁵ fallas por hora.</w:t>
            </w:r>
          </w:p>
          <w:p>
            <w:pPr>
              <w:keepLines/>
              <w:spacing w:before="120" w:after="40" w:line="276" w:lineRule="auto"/>
            </w:pPr>
            <w:r>
              <w:rPr>
                <w:rFonts w:ascii="Calibri" w:hAnsi="Calibri"/>
                <w:b/>
                <w:color w:val="1E40AF"/>
                <w:sz w:val="19"/>
              </w:rPr>
              <w:t>▶ Paso 2: Tiempo Medio Entre Fallas (MTBF) y Disponibilidad Anual</w:t>
            </w:r>
          </w:p>
          <w:p>
            <w:pPr>
              <w:keepLines/>
              <w:spacing w:before="0" w:after="60" w:line="276" w:lineRule="auto"/>
              <w:jc w:val="both"/>
            </w:pPr>
            <w:r>
              <w:rPr>
                <w:rFonts w:ascii="Calibri" w:hAnsi="Calibri"/>
                <w:color w:val="1F2937"/>
                <w:sz w:val="18"/>
              </w:rPr>
              <w:t>Fundamento Teórico: El tiempo medio entre averías no programadas y la disponibilidad en servicio continuo 24/7 (considerando un tiempo medio de reparación de 3.5 horas por reemplazo modular en taller) son:</w:t>
            </w:r>
          </w:p>
          <w:p>
            <w:pPr>
              <w:jc w:val="center"/>
              <w:keepLines/>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sistema ofrece una disponibilidad operativa del 99.976%, equivalente a menos de 2.1 horas de paro fortuito por año de operación.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MTBF de 14,706 horas y arquitectura modular de rápido recambio, el equipo alcanza una disponibilidad del 99.976%.</w:t>
            </w:r>
          </w:p>
        </w:tc>
      </w:tr>
    </w:tbl>
    <w:p>
      <w:pPr>
        <w:spacing w:before="0" w:after="80"/>
      </w:pPr>
    </w:p>
    <w:p>
      <w:pPr>
        <w:keepNext/>
        <w:spacing w:before="260" w:after="80"/>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40" w:line="276" w:lineRule="auto"/>
            </w:pPr>
            <w:r>
              <w:rPr>
                <w:rFonts w:ascii="Calibri" w:hAnsi="Calibri"/>
                <w:b/>
                <w:color w:val="1E40AF"/>
                <w:sz w:val="19"/>
              </w:rPr>
              <w:t>▶ Paso 1: Frecuencia de Escaneo y Multiplexación Temporal de la Matriz Digital</w:t>
            </w:r>
          </w:p>
          <w:p>
            <w:pPr>
              <w:keepLines/>
              <w:spacing w:before="0" w:after="60" w:line="276" w:lineRule="auto"/>
              <w:jc w:val="both"/>
            </w:pPr>
            <w:r>
              <w:rPr>
                <w:rFonts w:ascii="Calibri" w:hAnsi="Calibri"/>
                <w:color w:val="1F2937"/>
                <w:sz w:val="18"/>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Cada fila permanece encendida durante una ventana temporal exacta de 1.04 milisegundos antes de conmutar a la siguiente fila mediante transistores MOSFET de canal P.</w:t>
            </w:r>
          </w:p>
          <w:p>
            <w:pPr>
              <w:keepLines/>
              <w:spacing w:before="120" w:after="40" w:line="276" w:lineRule="auto"/>
            </w:pPr>
            <w:r>
              <w:rPr>
                <w:rFonts w:ascii="Calibri" w:hAnsi="Calibri"/>
                <w:b/>
                <w:color w:val="1E40AF"/>
                <w:sz w:val="19"/>
              </w:rPr>
              <w:t>▶ Paso 2: Ciclo de Trabajo (Duty Cycle) y Corriente de Pico por Diodo LED</w:t>
            </w:r>
          </w:p>
          <w:p>
            <w:pPr>
              <w:keepLines/>
              <w:spacing w:before="0" w:after="60" w:line="276" w:lineRule="auto"/>
              <w:jc w:val="both"/>
            </w:pPr>
            <w:r>
              <w:rPr>
                <w:rFonts w:ascii="Calibri" w:hAnsi="Calibri"/>
                <w:color w:val="1F2937"/>
                <w:sz w:val="18"/>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Los transistores de columna y los circuitos integrados de registro de desplazamiento deben soportar pulsos de corriente de 240 mA con tiempos de subida inferiores a 50 nanosegundos.</w:t>
            </w:r>
          </w:p>
          <w:p>
            <w:pPr>
              <w:keepLines/>
              <w:spacing w:before="120" w:after="40" w:line="276" w:lineRule="auto"/>
            </w:pPr>
            <w:r>
              <w:rPr>
                <w:rFonts w:ascii="Calibri" w:hAnsi="Calibri"/>
                <w:b/>
                <w:color w:val="1E40AF"/>
                <w:sz w:val="19"/>
              </w:rPr>
              <w:t>▶ Paso 3: Consumo Dinámico de Potencia Eléctrica y Fuente de Alimentación Digital</w:t>
            </w:r>
          </w:p>
          <w:p>
            <w:pPr>
              <w:keepLines/>
              <w:spacing w:before="0" w:after="60" w:line="276" w:lineRule="auto"/>
              <w:jc w:val="both"/>
            </w:pPr>
            <w:r>
              <w:rPr>
                <w:rFonts w:ascii="Calibri" w:hAnsi="Calibri"/>
                <w:color w:val="1F2937"/>
                <w:sz w:val="18"/>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40" w:after="40" w:line="276" w:lineRule="auto"/>
              <w:jc w:val="both"/>
            </w:pPr>
            <w:r>
              <w:rPr>
                <w:rFonts w:ascii="Calibri" w:hAnsi="Calibri"/>
                <w:color w:val="1F2937"/>
                <w:sz w:val="18"/>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Se selecciona una fuente de alimentación conmutada industrial de 5 V a 20 A (100 W) con protección contra cortocircuito y filtro EMI para alimentar de forma estable todo el sistema digital.</w:t>
            </w:r>
          </w:p>
          <w:p>
            <w:pPr>
              <w:keepLines/>
              <w:spacing w:before="120" w:after="40" w:line="276" w:lineRule="auto"/>
            </w:pPr>
            <w:r>
              <w:rPr>
                <w:rFonts w:ascii="Calibri" w:hAnsi="Calibri"/>
                <w:b/>
                <w:color w:val="1E40AF"/>
                <w:sz w:val="19"/>
              </w:rPr>
              <w:t>▶ Paso 4: Atenuación Óptica y Tiempo de Respuesta de la Barrera Infrarroja de Caída</w:t>
            </w:r>
          </w:p>
          <w:p>
            <w:pPr>
              <w:keepLines/>
              <w:spacing w:before="0" w:after="60" w:line="276" w:lineRule="auto"/>
              <w:jc w:val="both"/>
            </w:pPr>
            <w:r>
              <w:rPr>
                <w:rFonts w:ascii="Calibri" w:hAnsi="Calibri"/>
                <w:color w:val="1F2937"/>
                <w:sz w:val="18"/>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40" w:after="40" w:line="276" w:lineRule="auto"/>
              <w:jc w:val="both"/>
            </w:pPr>
            <w:r>
              <w:rPr>
                <w:rFonts w:ascii="Calibri" w:hAnsi="Calibri"/>
                <w:color w:val="1F2937"/>
                <w:sz w:val="18"/>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spacing w:before="0" w:after="80"/>
      </w:pPr>
    </w:p>
    <w:p>
      <w:pPr>
        <w:keepNext/>
        <w:spacing w:before="260" w:after="80"/>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40" w:line="276" w:lineRule="auto"/>
            </w:pPr>
            <w:r>
              <w:rPr>
                <w:rFonts w:ascii="Calibri" w:hAnsi="Calibri"/>
                <w:b/>
                <w:color w:val="1E40AF"/>
                <w:sz w:val="19"/>
              </w:rPr>
              <w:t>▶ Paso 1: Formalización de Conjuntos de Ranuras Físicas y Agregación de Capacidad</w:t>
            </w:r>
          </w:p>
          <w:p>
            <w:pPr>
              <w:keepLines/>
              <w:spacing w:before="0" w:after="60" w:line="276" w:lineRule="auto"/>
              <w:jc w:val="both"/>
            </w:pPr>
            <w:r>
              <w:rPr>
                <w:rFonts w:ascii="Calibri" w:hAnsi="Calibri"/>
                <w:color w:val="1F2937"/>
                <w:sz w:val="18"/>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120" w:after="40" w:line="276" w:lineRule="auto"/>
            </w:pPr>
            <w:r>
              <w:rPr>
                <w:rFonts w:ascii="Calibri" w:hAnsi="Calibri"/>
                <w:b/>
                <w:color w:val="1E40AF"/>
                <w:sz w:val="19"/>
              </w:rPr>
              <w:t>▶ Paso 2: Vector de Inventario en Tiempo Real y Regla de Despacho Ordinal FIFO</w:t>
            </w:r>
          </w:p>
          <w:p>
            <w:pPr>
              <w:keepLines/>
              <w:spacing w:before="0" w:after="60" w:line="276" w:lineRule="auto"/>
              <w:jc w:val="both"/>
            </w:pPr>
            <w:r>
              <w:rPr>
                <w:rFonts w:ascii="Calibri" w:hAnsi="Calibri"/>
                <w:color w:val="1F2937"/>
                <w:sz w:val="18"/>
              </w:rPr>
              <w:t>Fundamento Teórico: El estado de existencias en el instante t se representa mediante el vector n(p_i, t) = [n_1(t), n_2(t), ..., n_{k_i}(t)]^T. La regla de selección de la ranura física activa a accionar en la compra unitaria es:</w:t>
            </w:r>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puntero de conmutación selecciona prioritariamente la primera ranura cargada en orden ordinal. Mientras n_1(t) &gt; 0, se despacha de s_{i,1}.</w:t>
            </w:r>
          </w:p>
          <w:p>
            <w:pPr>
              <w:keepLines/>
              <w:spacing w:before="120" w:after="40" w:line="276" w:lineRule="auto"/>
            </w:pPr>
            <w:r>
              <w:rPr>
                <w:rFonts w:ascii="Calibri" w:hAnsi="Calibri"/>
                <w:b/>
                <w:color w:val="1E40AF"/>
                <w:sz w:val="19"/>
              </w:rPr>
              <w:t>▶ Paso 3: Transición Discreta de Estado y Conmutación Asíncrona sin Pérdida de Venta</w:t>
            </w:r>
          </w:p>
          <w:p>
            <w:pPr>
              <w:keepLines/>
              <w:spacing w:before="0" w:after="60" w:line="276" w:lineRule="auto"/>
              <w:jc w:val="both"/>
            </w:pPr>
            <w:r>
              <w:rPr>
                <w:rFonts w:ascii="Calibri" w:hAnsi="Calibri"/>
                <w:color w:val="1F2937"/>
                <w:sz w:val="18"/>
              </w:rPr>
              <w:t>Fundamento Teórico: Al consumarse el ciclo de giro y confirmarse la caída óptica por la barrera infrarroja en el instante t_k, el vector de inventario experimenta la transición discreta:</w:t>
            </w:r>
          </w:p>
          <w:p>
            <w:pPr>
              <w:jc w:val="center"/>
              <w:keepLines/>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Cuando la ranura A1 entrega su octavo tupper (n_1 = 0), el puntero conmuta inmediatamente a A6 sin necesidad de intervención manual del operador ni reinicio de sesión.</w:t>
            </w:r>
          </w:p>
          <w:p>
            <w:pPr>
              <w:keepLines/>
              <w:spacing w:before="120" w:after="40" w:line="276" w:lineRule="auto"/>
            </w:pPr>
            <w:r>
              <w:rPr>
                <w:rFonts w:ascii="Calibri" w:hAnsi="Calibri"/>
                <w:b/>
                <w:color w:val="1E40AF"/>
                <w:sz w:val="19"/>
              </w:rPr>
              <w:t>▶ Paso 4: Latencia de Conmutación y Validación de Integridad Transaccional</w:t>
            </w:r>
          </w:p>
          <w:p>
            <w:pPr>
              <w:keepLines/>
              <w:spacing w:before="0" w:after="60" w:line="276" w:lineRule="auto"/>
              <w:jc w:val="both"/>
            </w:pPr>
            <w:r>
              <w:rPr>
                <w:rFonts w:ascii="Calibri" w:hAnsi="Calibri"/>
                <w:color w:val="1F2937"/>
                <w:sz w:val="18"/>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transición se completa en 48.3 milisegundos, garantizando que el usuario en el quiosco cliente no experimente congelamiento alguno en la interfaz visual.</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algoritmo multi-ranura elimina el cuello de botella del agotamiento prematuro de productos populares, conmutando ranuras en menos de 49 ms sin colisiones de inventario.</w:t>
            </w:r>
          </w:p>
        </w:tc>
      </w:tr>
    </w:tbl>
    <w:p>
      <w:pPr>
        <w:spacing w:before="0" w:after="80"/>
      </w:pPr>
    </w:p>
    <w:p>
      <w:pPr>
        <w:keepNext/>
        <w:spacing w:before="260" w:after="80"/>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40" w:line="276" w:lineRule="auto"/>
            </w:pPr>
            <w:r>
              <w:rPr>
                <w:rFonts w:ascii="Calibri" w:hAnsi="Calibri"/>
                <w:b/>
                <w:color w:val="1E40AF"/>
                <w:sz w:val="19"/>
              </w:rPr>
              <w:t>▶ Paso 1: Energía Inductiva Almacenada y Disipación en Red Flyback</w:t>
            </w:r>
          </w:p>
          <w:p>
            <w:pPr>
              <w:keepLines/>
              <w:spacing w:before="0" w:after="60" w:line="276" w:lineRule="auto"/>
              <w:jc w:val="both"/>
            </w:pPr>
            <w:r>
              <w:rPr>
                <w:rFonts w:ascii="Calibri" w:hAnsi="Calibri"/>
                <w:color w:val="1F2937"/>
                <w:sz w:val="18"/>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energía residual de 13.32 mJ se disipa a través del diodo 1N4007 en tan solo 0.80 milisegundos, protegiendo totalmente los transistores contra picos de voltaje destructivos.</w:t>
            </w:r>
          </w:p>
          <w:p>
            <w:pPr>
              <w:keepLines/>
              <w:spacing w:before="120" w:after="40" w:line="276" w:lineRule="auto"/>
            </w:pPr>
            <w:r>
              <w:rPr>
                <w:rFonts w:ascii="Calibri" w:hAnsi="Calibri"/>
                <w:b/>
                <w:color w:val="1E40AF"/>
                <w:sz w:val="19"/>
              </w:rPr>
              <w:t>▶ Paso 2: Pérdidas por Conducción Estática en Transistores MOSFET</w:t>
            </w:r>
          </w:p>
          <w:p>
            <w:pPr>
              <w:keepLines/>
              <w:spacing w:before="0" w:after="60" w:line="276" w:lineRule="auto"/>
              <w:jc w:val="both"/>
            </w:pPr>
            <w:r>
              <w:rPr>
                <w:rFonts w:ascii="Calibri" w:hAnsi="Calibri"/>
                <w:color w:val="1F2937"/>
                <w:sz w:val="18"/>
              </w:rPr>
              <w:t>Fundamento Teórico: Calculamos las pérdidas por efecto Joule durante la conducción del ciclo de dispensación (duración t_giro = 2.40 s) para los transistores Low-Side (IRLZ44N) y High-Side (IRF9540N):</w:t>
            </w:r>
          </w:p>
          <w:p>
            <w:pPr>
              <w:jc w:val="center"/>
              <w:keepLines/>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elevación de temperatura en la unión semiconductora es inferior a 0.9 °C, demostrando que los MOSFETs operan completamente fríos sin requerir disipadores de calor voluminosos.</w:t>
            </w:r>
          </w:p>
          <w:p>
            <w:pPr>
              <w:keepLines/>
              <w:spacing w:before="120" w:after="40" w:line="276" w:lineRule="auto"/>
            </w:pPr>
            <w:r>
              <w:rPr>
                <w:rFonts w:ascii="Calibri" w:hAnsi="Calibri"/>
                <w:b/>
                <w:color w:val="1E40AF"/>
                <w:sz w:val="19"/>
              </w:rPr>
              <w:t>▶ Paso 3: Dimensionamiento Térmico de Pistas de Potencia según IPC-2221</w:t>
            </w:r>
          </w:p>
          <w:p>
            <w:pPr>
              <w:keepLines/>
              <w:spacing w:before="0" w:after="60" w:line="276" w:lineRule="auto"/>
              <w:jc w:val="both"/>
            </w:pPr>
            <w:r>
              <w:rPr>
                <w:rFonts w:ascii="Calibri" w:hAnsi="Calibri"/>
                <w:color w:val="1F2937"/>
                <w:sz w:val="18"/>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ancho de pista de 3.50 mm seleccionado en el diseño de EasyEDA reduce la elevación de temperatura real a menos de 1.8 °C, otorgando máxima confiabilidad industrial al PCB.</w:t>
            </w:r>
          </w:p>
          <w:p>
            <w:pPr>
              <w:keepLines/>
              <w:spacing w:before="120" w:after="40" w:line="276" w:lineRule="auto"/>
            </w:pPr>
            <w:r>
              <w:rPr>
                <w:rFonts w:ascii="Calibri" w:hAnsi="Calibri"/>
                <w:b/>
                <w:color w:val="1E40AF"/>
                <w:sz w:val="19"/>
              </w:rPr>
              <w:t>▶ Paso 4: Margen de Saturación del Optoacoplador Galvánico PC817C</w:t>
            </w:r>
          </w:p>
          <w:p>
            <w:pPr>
              <w:keepLines/>
              <w:spacing w:before="0" w:after="60" w:line="276" w:lineRule="auto"/>
              <w:jc w:val="both"/>
            </w:pPr>
            <w:r>
              <w:rPr>
                <w:rFonts w:ascii="Calibri" w:hAnsi="Calibri"/>
                <w:color w:val="1F2937"/>
                <w:sz w:val="18"/>
              </w:rPr>
              <w:t>Fundamento Teórico: Con una resistencia limitadora de entrada R_in = 330 Ω excitada a V_ESP = 3.3 V y una caída directa de diodo V_F = 1.15 V, la corriente directa del emisor y la corriente de colector saturada son:</w:t>
            </w:r>
          </w:p>
          <w:p>
            <w:pPr>
              <w:jc w:val="center"/>
              <w:keepLines/>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optoacoplador opera en saturación profunda con un factor de seguridad de 10.8, garantizando una conmutación limpia, rápida y totalmente libre de caídas de tensión.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potencia conmuta picos inductivos de 1.2 A en 0.8 ms con sobrecalentamiento despreciable (&lt; 0.9 °C). Las pistas de 3.50 mm cumplen plenamente con la norma IPC-2221.</w:t>
            </w:r>
          </w:p>
        </w:tc>
      </w:tr>
    </w:tbl>
    <w:p>
      <w:pPr>
        <w:spacing w:before="0" w:after="80"/>
      </w:pPr>
    </w:p>
    <w:p>
      <w:pPr>
        <w:keepNext/>
        <w:spacing w:before="260" w:after="80"/>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40" w:line="276" w:lineRule="auto"/>
            </w:pPr>
            <w:r>
              <w:rPr>
                <w:rFonts w:ascii="Calibri" w:hAnsi="Calibri"/>
                <w:b/>
                <w:color w:val="1E40AF"/>
                <w:sz w:val="19"/>
              </w:rPr>
              <w:t>▶ Paso 1: Radiación Neta entre Superficies Planas Paralelas del Vidrio Doble</w:t>
            </w:r>
          </w:p>
          <w:p>
            <w:pPr>
              <w:keepLines/>
              <w:spacing w:before="0" w:after="60" w:line="276" w:lineRule="auto"/>
              <w:jc w:val="both"/>
            </w:pPr>
            <w:r>
              <w:rPr>
                <w:rFonts w:ascii="Calibri" w:hAnsi="Calibri"/>
                <w:color w:val="1F2937"/>
                <w:sz w:val="18"/>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neta de intercambio radiativo en la cámara intermedia es de 139.35 W por metro cuadrado de acristalamiento.</w:t>
            </w:r>
          </w:p>
          <w:p>
            <w:pPr>
              <w:keepLines/>
              <w:spacing w:before="120" w:after="40" w:line="276" w:lineRule="auto"/>
            </w:pPr>
            <w:r>
              <w:rPr>
                <w:rFonts w:ascii="Calibri" w:hAnsi="Calibri"/>
                <w:b/>
                <w:color w:val="1E40AF"/>
                <w:sz w:val="19"/>
              </w:rPr>
              <w:t>▶ Paso 2: Convección Natural en Espacio Confinado de Gas Seco</w:t>
            </w:r>
          </w:p>
          <w:p>
            <w:pPr>
              <w:keepLines/>
              <w:spacing w:before="0" w:after="60" w:line="276" w:lineRule="auto"/>
              <w:jc w:val="both"/>
            </w:pPr>
            <w:r>
              <w:rPr>
                <w:rFonts w:ascii="Calibri" w:hAnsi="Calibri"/>
                <w:color w:val="1F2937"/>
                <w:sz w:val="18"/>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convección natural en la cámara de gas aporta un coeficiente de película de 4.40 W/m²K, amortiguando drásticamente el flujo convectivo.</w:t>
            </w:r>
          </w:p>
          <w:p>
            <w:pPr>
              <w:keepLines/>
              <w:spacing w:before="120" w:after="40" w:line="276" w:lineRule="auto"/>
            </w:pPr>
            <w:r>
              <w:rPr>
                <w:rFonts w:ascii="Calibri" w:hAnsi="Calibri"/>
                <w:b/>
                <w:color w:val="1E40AF"/>
                <w:sz w:val="19"/>
              </w:rPr>
              <w:t>▶ Paso 3: Coeficiente Global Certificado y Flujo Térmico Total en Puerta</w:t>
            </w:r>
          </w:p>
          <w:p>
            <w:pPr>
              <w:keepLines/>
              <w:spacing w:before="0" w:after="60" w:line="276" w:lineRule="auto"/>
              <w:jc w:val="both"/>
            </w:pPr>
            <w:r>
              <w:rPr>
                <w:rFonts w:ascii="Calibri" w:hAnsi="Calibri"/>
                <w:color w:val="1F2937"/>
                <w:sz w:val="18"/>
              </w:rPr>
              <w:t>Fundamento Teórico: Sumando las resistencias térmicas de las dos capas de vidrio (e = 4 mm, k = 1.0 W/m·K), la cámara intermedia y los coeficientes de película exterior (h_e = 25 W/m²K) e interior (h_i = 8 W/m²K):</w:t>
            </w:r>
          </w:p>
          <w:p>
            <w:pPr>
              <w:jc w:val="center"/>
              <w:keepLines/>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frontal transfiere 102.41 W bajo el clima canicular de 42 °C, perfectamente absorbidos por el ciclo frigorífico.</w:t>
            </w:r>
          </w:p>
          <w:p>
            <w:pPr>
              <w:keepLines/>
              <w:spacing w:before="120" w:after="40" w:line="276" w:lineRule="auto"/>
            </w:pPr>
            <w:r>
              <w:rPr>
                <w:rFonts w:ascii="Calibri" w:hAnsi="Calibri"/>
                <w:b/>
                <w:color w:val="1E40AF"/>
                <w:sz w:val="19"/>
              </w:rPr>
              <w:t>▶ Paso 4: Verificación Térmica de Prevención de Condensación Superficial</w:t>
            </w:r>
          </w:p>
          <w:p>
            <w:pPr>
              <w:keepLines/>
              <w:spacing w:before="0" w:after="60" w:line="276" w:lineRule="auto"/>
              <w:jc w:val="both"/>
            </w:pPr>
            <w:r>
              <w:rPr>
                <w:rFonts w:ascii="Calibri" w:hAnsi="Calibri"/>
                <w:color w:val="1F2937"/>
                <w:sz w:val="18"/>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la temperatura exterior del cristal se mantiene 3.89 °C por encima del punto de rocío, el vidrio no presenta condensación externa ni empañamiento en ningún momento del día.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doble acristalamiento templado limita el flujo térmico a 102.4 W y garantiza una temperatura exterior de 37.7 °C, impidiendo que el cristal se empañe ante la humedad exterior de Monterrey.</w:t>
            </w:r>
          </w:p>
        </w:tc>
      </w:tr>
    </w:tbl>
    <w:p>
      <w:pPr>
        <w:spacing w:before="0" w:after="80"/>
      </w:pPr>
    </w:p>
    <w:p>
      <w:pPr>
        <w:keepNext/>
        <w:spacing w:before="260" w:after="80"/>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40" w:line="276" w:lineRule="auto"/>
            </w:pPr>
            <w:r>
              <w:rPr>
                <w:rFonts w:ascii="Calibri" w:hAnsi="Calibri"/>
                <w:b/>
                <w:color w:val="1E40AF"/>
                <w:sz w:val="19"/>
              </w:rPr>
              <w:t>▶ Paso 1: Ciclo de Trabajo Térmico del Compresor y Potencia Media Activa</w:t>
            </w:r>
          </w:p>
          <w:p>
            <w:pPr>
              <w:keepLines/>
              <w:spacing w:before="0" w:after="60" w:line="276" w:lineRule="auto"/>
              <w:jc w:val="both"/>
            </w:pPr>
            <w:r>
              <w:rPr>
                <w:rFonts w:ascii="Calibri" w:hAnsi="Calibri"/>
                <w:color w:val="1F2937"/>
                <w:sz w:val="18"/>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compresor permanece encendido menos de 30 minutos por cada hora de operación, consumiendo un promedio temporal de 139.9 W.</w:t>
            </w:r>
          </w:p>
          <w:p>
            <w:pPr>
              <w:keepLines/>
              <w:spacing w:before="120" w:after="40" w:line="276" w:lineRule="auto"/>
            </w:pPr>
            <w:r>
              <w:rPr>
                <w:rFonts w:ascii="Calibri" w:hAnsi="Calibri"/>
                <w:b/>
                <w:color w:val="1E40AF"/>
                <w:sz w:val="19"/>
              </w:rPr>
              <w:t>▶ Paso 2: Consumo Eléctrico Diario Total en Kilovatios-Hora (kWh/día)</w:t>
            </w:r>
          </w:p>
          <w:p>
            <w:pPr>
              <w:keepLines/>
              <w:spacing w:before="0" w:after="60" w:line="276" w:lineRule="auto"/>
              <w:jc w:val="both"/>
            </w:pPr>
            <w:r>
              <w:rPr>
                <w:rFonts w:ascii="Calibri" w:hAnsi="Calibri"/>
                <w:color w:val="1F2937"/>
                <w:sz w:val="18"/>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máquina demanda 5.71 kWh por día completo de operación continua 24/7/365.</w:t>
            </w:r>
          </w:p>
          <w:p>
            <w:pPr>
              <w:keepLines/>
              <w:spacing w:before="120" w:after="40" w:line="276" w:lineRule="auto"/>
            </w:pPr>
            <w:r>
              <w:rPr>
                <w:rFonts w:ascii="Calibri" w:hAnsi="Calibri"/>
                <w:b/>
                <w:color w:val="1E40AF"/>
                <w:sz w:val="19"/>
              </w:rPr>
              <w:t>▶ Paso 3: Costo Económico Energético Comercial bajo Tarifa CFE PDBT</w:t>
            </w:r>
          </w:p>
          <w:p>
            <w:pPr>
              <w:keepLines/>
              <w:spacing w:before="0" w:after="60" w:line="276" w:lineRule="auto"/>
              <w:jc w:val="both"/>
            </w:pPr>
            <w:r>
              <w:rPr>
                <w:rFonts w:ascii="Calibri" w:hAnsi="Calibri"/>
                <w:color w:val="1F2937"/>
                <w:sz w:val="18"/>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60" w:after="60"/>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60" w:after="60"/>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60" w:after="60"/>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impacto energético sobre el precio final de cada platillo casero ($120 MXN) es de apenas 31 centavos de peso, confirmando una eficiencia económica insuperable.</w:t>
            </w:r>
          </w:p>
          <w:p>
            <w:pPr>
              <w:keepLines/>
              <w:spacing w:before="120" w:after="40" w:line="276" w:lineRule="auto"/>
            </w:pPr>
            <w:r>
              <w:rPr>
                <w:rFonts w:ascii="Calibri" w:hAnsi="Calibri"/>
                <w:b/>
                <w:color w:val="1E40AF"/>
                <w:sz w:val="19"/>
              </w:rPr>
              <w:t>▶ Paso 4: Análisis de Ciclo de Vida (LCA) y Mitigación de Huella de Carbono vs Delivery</w:t>
            </w:r>
          </w:p>
          <w:p>
            <w:pPr>
              <w:keepLines/>
              <w:spacing w:before="0" w:after="60" w:line="276" w:lineRule="auto"/>
              <w:jc w:val="both"/>
            </w:pPr>
            <w:r>
              <w:rPr>
                <w:rFonts w:ascii="Calibri" w:hAnsi="Calibri"/>
                <w:color w:val="1F2937"/>
                <w:sz w:val="18"/>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consumo de solo 5.71 kWh/día ($18.56 MXN diarios) y un costo energético de $0.31 MXN por comida, XpendeX mitiga el 96.6% de las emisiones de CO2 de las plataformas de delivery, ahorrando 30 toneladas de CO2 anuales.</w:t>
            </w:r>
          </w:p>
        </w:tc>
      </w:tr>
    </w:tbl>
    <w:p>
      <w:pPr>
        <w:spacing w:before="0" w:after="80"/>
      </w:pPr>
    </w:p>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