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Billing &amp; Coding</w:t>
      </w:r>
    </w:p>
    <w:p>
      <w:pPr>
        <w:pStyle w:val="Heading1"/>
      </w:pPr>
      <w:r>
        <w:t>1. Overview</w:t>
      </w:r>
    </w:p>
    <w:p>
      <w:r>
        <w:t>This document outlines the coding standards for outpatient procedures.</w:t>
      </w:r>
    </w:p>
    <w:p>
      <w:pPr>
        <w:pStyle w:val="Heading1"/>
      </w:pPr>
      <w:r>
        <w:t>2. Modifiers</w:t>
      </w:r>
    </w:p>
    <w:p>
      <w:r>
        <w:t>Use Modifier 25 for significant, separately identifiable evaluation and management service by the same physician on the same day of the procedure.</w:t>
      </w:r>
    </w:p>
    <w:p>
      <w:r>
        <w:t>Use Modifier 59 for distinct procedural service.</w:t>
      </w:r>
    </w:p>
    <w:p>
      <w:pPr>
        <w:pStyle w:val="Heading1"/>
      </w:pPr>
      <w:r>
        <w:t>3. Denial Management</w:t>
      </w:r>
    </w:p>
    <w:p>
      <w:r>
        <w:t>If a claim is denied for "Medical Necessity", review the attached clinical notes. Ensure that the ICD-10 code supports the CPT code billed.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