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Adobe Inc. — Operational Update (November 2024)</w:t>
      </w:r>
    </w:p>
    <w:p>
      <w:pPr>
        <w:pStyle w:val="Heading1"/>
      </w:pPr>
      <w:r>
        <w:t>Infrastructure &amp; Platform Status</w:t>
      </w:r>
    </w:p>
    <w:p>
      <w:pPr>
        <w:pStyle w:val="Heading2"/>
      </w:pPr>
      <w:r>
        <w:t>System Availability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Uptime (Oct)</w:t>
            </w:r>
          </w:p>
        </w:tc>
        <w:tc>
          <w:tcPr>
            <w:tcW w:type="dxa" w:w="2160"/>
          </w:tcPr>
          <w:p>
            <w:r>
              <w:t>Uptime (YTD)</w:t>
            </w:r>
          </w:p>
        </w:tc>
        <w:tc>
          <w:tcPr>
            <w:tcW w:type="dxa" w:w="2160"/>
          </w:tcPr>
          <w:p>
            <w:r>
              <w:t>SLA Target</w:t>
            </w:r>
          </w:p>
        </w:tc>
      </w:tr>
      <w:tr>
        <w:tc>
          <w:tcPr>
            <w:tcW w:type="dxa" w:w="2160"/>
          </w:tcPr>
          <w:p>
            <w:r>
              <w:t>Core Platform</w:t>
            </w:r>
          </w:p>
        </w:tc>
        <w:tc>
          <w:tcPr>
            <w:tcW w:type="dxa" w:w="2160"/>
          </w:tcPr>
          <w:p>
            <w:r>
              <w:t>99.97%</w:t>
            </w:r>
          </w:p>
        </w:tc>
        <w:tc>
          <w:tcPr>
            <w:tcW w:type="dxa" w:w="2160"/>
          </w:tcPr>
          <w:p>
            <w:r>
              <w:t>99.94%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99.99%</w:t>
            </w:r>
          </w:p>
        </w:tc>
        <w:tc>
          <w:tcPr>
            <w:tcW w:type="dxa" w:w="2160"/>
          </w:tcPr>
          <w:p>
            <w:r>
              <w:t>99.96%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  <w:tr>
        <w:tc>
          <w:tcPr>
            <w:tcW w:type="dxa" w:w="2160"/>
          </w:tcPr>
          <w:p>
            <w:r>
              <w:t>AI Analytics (Beta)</w:t>
            </w:r>
          </w:p>
        </w:tc>
        <w:tc>
          <w:tcPr>
            <w:tcW w:type="dxa" w:w="2160"/>
          </w:tcPr>
          <w:p>
            <w:r>
              <w:t>99.85%</w:t>
            </w:r>
          </w:p>
        </w:tc>
        <w:tc>
          <w:tcPr>
            <w:tcW w:type="dxa" w:w="2160"/>
          </w:tcPr>
          <w:p>
            <w:r>
              <w:t>99.80%</w:t>
            </w:r>
          </w:p>
        </w:tc>
        <w:tc>
          <w:tcPr>
            <w:tcW w:type="dxa" w:w="2160"/>
          </w:tcPr>
          <w:p>
            <w:r>
              <w:t>99.5%</w:t>
            </w:r>
          </w:p>
        </w:tc>
      </w:tr>
      <w:tr>
        <w:tc>
          <w:tcPr>
            <w:tcW w:type="dxa" w:w="2160"/>
          </w:tcPr>
          <w:p>
            <w:r>
              <w:t>Data Pipeline</w:t>
            </w:r>
          </w:p>
        </w:tc>
        <w:tc>
          <w:tcPr>
            <w:tcW w:type="dxa" w:w="2160"/>
          </w:tcPr>
          <w:p>
            <w:r>
              <w:t>99.92%</w:t>
            </w:r>
          </w:p>
        </w:tc>
        <w:tc>
          <w:tcPr>
            <w:tcW w:type="dxa" w:w="2160"/>
          </w:tcPr>
          <w:p>
            <w:r>
              <w:t>99.90%</w:t>
            </w:r>
          </w:p>
        </w:tc>
        <w:tc>
          <w:tcPr>
            <w:tcW w:type="dxa" w:w="2160"/>
          </w:tcPr>
          <w:p>
            <w:r>
              <w:t>99.9%</w:t>
            </w:r>
          </w:p>
        </w:tc>
      </w:tr>
    </w:tbl>
    <w:p>
      <w:r>
        <w:t>All services exceeded their SLA targets. The AI Analytics platform beta had two minor incidents in October (45 minutes total downtime), tracked to autoscaling configuration.</w:t>
      </w:r>
    </w:p>
    <w:p>
      <w:pPr>
        <w:pStyle w:val="Heading2"/>
      </w:pPr>
      <w:r>
        <w:t>Deployment Metrics</w:t>
      </w:r>
    </w:p>
    <w:p>
      <w:pPr>
        <w:pStyle w:val="ListBullet"/>
      </w:pPr>
      <w:r>
        <w:t>Release frequency: 47 deployments/month (up from 32 in Jan 2024)</w:t>
      </w:r>
    </w:p>
    <w:p>
      <w:pPr>
        <w:pStyle w:val="ListBullet"/>
      </w:pPr>
      <w:r>
        <w:t>Deployment success rate: 98.7%</w:t>
      </w:r>
    </w:p>
    <w:p>
      <w:pPr>
        <w:pStyle w:val="ListBullet"/>
      </w:pPr>
      <w:r>
        <w:t>Mean time to recovery (MTTR): 12 minutes (down from 28 minutes in Q1)</w:t>
      </w:r>
    </w:p>
    <w:p>
      <w:pPr>
        <w:pStyle w:val="ListBullet"/>
      </w:pPr>
      <w:r>
        <w:t>Change failure rate: 1.3%</w:t>
      </w:r>
    </w:p>
    <w:p>
      <w:pPr>
        <w:pStyle w:val="Heading1"/>
      </w:pPr>
      <w:r>
        <w:t>Security Operations</w:t>
      </w:r>
    </w:p>
    <w:p>
      <w:pPr>
        <w:pStyle w:val="Heading2"/>
      </w:pPr>
      <w:r>
        <w:t>Q3 Incident Follow-up</w:t>
      </w:r>
    </w:p>
    <w:p>
      <w:r>
        <w:t>The OAuth vulnerability discovered September 14 has been fully remediated. Post-incident actions completed:</w:t>
      </w:r>
    </w:p>
    <w:p>
      <w:pPr>
        <w:pStyle w:val="ListBullet"/>
      </w:pPr>
      <w:r>
        <w:t>Mandatory security review process implemented for authentication code paths</w:t>
      </w:r>
    </w:p>
    <w:p>
      <w:pPr>
        <w:pStyle w:val="ListBullet"/>
      </w:pPr>
      <w:r>
        <w:t>Automated SAST expanded to cover 100% of auth modules</w:t>
      </w:r>
    </w:p>
    <w:p>
      <w:pPr>
        <w:pStyle w:val="ListBullet"/>
      </w:pPr>
      <w:r>
        <w:t>External penetration test by CyberShield Labs — 3 low-severity findings, all resolved</w:t>
      </w:r>
    </w:p>
    <w:p>
      <w:pPr>
        <w:pStyle w:val="ListBullet"/>
      </w:pPr>
      <w:r>
        <w:t>Security awareness training completed for 100% of engineering staff</w:t>
      </w:r>
    </w:p>
    <w:p>
      <w:pPr>
        <w:pStyle w:val="Heading2"/>
      </w:pPr>
      <w:r>
        <w:t>Upcoming Compliance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Regulation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Remaining Effort</w:t>
            </w:r>
          </w:p>
        </w:tc>
      </w:tr>
      <w:tr>
        <w:tc>
          <w:tcPr>
            <w:tcW w:type="dxa" w:w="2160"/>
          </w:tcPr>
          <w:p>
            <w:r>
              <w:t>EU Digital Services Act</w:t>
            </w:r>
          </w:p>
        </w:tc>
        <w:tc>
          <w:tcPr>
            <w:tcW w:type="dxa" w:w="2160"/>
          </w:tcPr>
          <w:p>
            <w:r>
              <w:t>Q1 2025</w:t>
            </w:r>
          </w:p>
        </w:tc>
        <w:tc>
          <w:tcPr>
            <w:tcW w:type="dxa" w:w="2160"/>
          </w:tcPr>
          <w:p>
            <w:r>
              <w:t>65% complete</w:t>
            </w:r>
          </w:p>
        </w:tc>
        <w:tc>
          <w:tcPr>
            <w:tcW w:type="dxa" w:w="2160"/>
          </w:tcPr>
          <w:p>
            <w:r>
              <w:t>4 engineering sprints</w:t>
            </w:r>
          </w:p>
        </w:tc>
      </w:tr>
      <w:tr>
        <w:tc>
          <w:tcPr>
            <w:tcW w:type="dxa" w:w="2160"/>
          </w:tcPr>
          <w:p>
            <w:r>
              <w:t>SOC 2 Type II Renewal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  <w:tc>
          <w:tcPr>
            <w:tcW w:type="dxa" w:w="2160"/>
          </w:tcPr>
          <w:p>
            <w:r>
              <w:t>Auditor engaged</w:t>
            </w:r>
          </w:p>
        </w:tc>
      </w:tr>
      <w:tr>
        <w:tc>
          <w:tcPr>
            <w:tcW w:type="dxa" w:w="2160"/>
          </w:tcPr>
          <w:p>
            <w:r>
              <w:t>GDPR Amendment</w:t>
            </w:r>
          </w:p>
        </w:tc>
        <w:tc>
          <w:tcPr>
            <w:tcW w:type="dxa" w:w="2160"/>
          </w:tcPr>
          <w:p>
            <w:r>
              <w:t>June 2025</w:t>
            </w:r>
          </w:p>
        </w:tc>
        <w:tc>
          <w:tcPr>
            <w:tcW w:type="dxa" w:w="2160"/>
          </w:tcPr>
          <w:p>
            <w:r>
              <w:t>30% complete</w:t>
            </w:r>
          </w:p>
        </w:tc>
        <w:tc>
          <w:tcPr>
            <w:tcW w:type="dxa" w:w="2160"/>
          </w:tcPr>
          <w:p>
            <w:r>
              <w:t>Scoping phase</w:t>
            </w:r>
          </w:p>
        </w:tc>
      </w:tr>
      <w:tr>
        <w:tc>
          <w:tcPr>
            <w:tcW w:type="dxa" w:w="2160"/>
          </w:tcPr>
          <w:p>
            <w:r>
              <w:t>California CPRA Updates</w:t>
            </w:r>
          </w:p>
        </w:tc>
        <w:tc>
          <w:tcPr>
            <w:tcW w:type="dxa" w:w="2160"/>
          </w:tcPr>
          <w:p>
            <w:r>
              <w:t>January 2025</w:t>
            </w:r>
          </w:p>
        </w:tc>
        <w:tc>
          <w:tcPr>
            <w:tcW w:type="dxa" w:w="2160"/>
          </w:tcPr>
          <w:p>
            <w:r>
              <w:t>80% complete</w:t>
            </w:r>
          </w:p>
        </w:tc>
        <w:tc>
          <w:tcPr>
            <w:tcW w:type="dxa" w:w="2160"/>
          </w:tcPr>
          <w:p>
            <w:r>
              <w:t>Final testing</w:t>
            </w:r>
          </w:p>
        </w:tc>
      </w:tr>
    </w:tbl>
    <w:p>
      <w:pPr>
        <w:pStyle w:val="Heading1"/>
      </w:pPr>
      <w:r>
        <w:t>Support Operations</w:t>
      </w:r>
    </w:p>
    <w:p>
      <w:pPr>
        <w:pStyle w:val="Heading2"/>
      </w:pPr>
      <w:r>
        <w:t>Ticket Volume &amp; Resolution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Tickets</w:t>
            </w:r>
          </w:p>
        </w:tc>
        <w:tc>
          <w:tcPr>
            <w:tcW w:type="dxa" w:w="1728"/>
          </w:tcPr>
          <w:p>
            <w:r>
              <w:t>Avg Resolution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  <w:tc>
          <w:tcPr>
            <w:tcW w:type="dxa" w:w="1728"/>
          </w:tcPr>
          <w:p>
            <w:r>
              <w:t>CSAT</w:t>
            </w:r>
          </w:p>
        </w:tc>
      </w:tr>
      <w:tr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8,420</w:t>
            </w:r>
          </w:p>
        </w:tc>
        <w:tc>
          <w:tcPr>
            <w:tcW w:type="dxa" w:w="1728"/>
          </w:tcPr>
          <w:p>
            <w:r>
              <w:t>6.8 hrs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71%</w:t>
            </w:r>
          </w:p>
        </w:tc>
      </w:tr>
      <w:tr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9,180</w:t>
            </w:r>
          </w:p>
        </w:tc>
        <w:tc>
          <w:tcPr>
            <w:tcW w:type="dxa" w:w="1728"/>
          </w:tcPr>
          <w:p>
            <w:r>
              <w:t>7.8 hrs</w:t>
            </w:r>
          </w:p>
        </w:tc>
        <w:tc>
          <w:tcPr>
            <w:tcW w:type="dxa" w:w="1728"/>
          </w:tcPr>
          <w:p>
            <w:r>
              <w:t>487</w:t>
            </w:r>
          </w:p>
        </w:tc>
        <w:tc>
          <w:tcPr>
            <w:tcW w:type="dxa" w:w="1728"/>
          </w:tcPr>
          <w:p>
            <w:r>
              <w:t>68%</w:t>
            </w:r>
          </w:p>
        </w:tc>
      </w:tr>
      <w:tr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8,900</w:t>
            </w:r>
          </w:p>
        </w:tc>
        <w:tc>
          <w:tcPr>
            <w:tcW w:type="dxa" w:w="1728"/>
          </w:tcPr>
          <w:p>
            <w:r>
              <w:t>7.2 hrs</w:t>
            </w:r>
          </w:p>
        </w:tc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>
              <w:t>69%</w:t>
            </w:r>
          </w:p>
        </w:tc>
      </w:tr>
    </w:tbl>
    <w:p>
      <w:r>
        <w:t>October showed slight improvement following the Q4 hiring push (12 new agents). AI triage pilot (launched Oct 15) auto-categorizes 35% of tickets.</w:t>
      </w:r>
    </w:p>
    <w:p>
      <w:pPr>
        <w:pStyle w:val="Heading2"/>
      </w:pPr>
      <w:r>
        <w:t>Top Support Issues (October)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 Category</w:t>
            </w:r>
          </w:p>
        </w:tc>
        <w:tc>
          <w:tcPr>
            <w:tcW w:type="dxa" w:w="2160"/>
          </w:tcPr>
          <w:p>
            <w:r>
              <w:t>Tickets</w:t>
            </w:r>
          </w:p>
        </w:tc>
        <w:tc>
          <w:tcPr>
            <w:tcW w:type="dxa" w:w="2160"/>
          </w:tcPr>
          <w:p>
            <w:r>
              <w:t>% of Total</w:t>
            </w:r>
          </w:p>
        </w:tc>
        <w:tc>
          <w:tcPr>
            <w:tcW w:type="dxa" w:w="2160"/>
          </w:tcPr>
          <w:p>
            <w:r>
              <w:t>Avg Resolution</w:t>
            </w:r>
          </w:p>
        </w:tc>
      </w:tr>
      <w:tr>
        <w:tc>
          <w:tcPr>
            <w:tcW w:type="dxa" w:w="2160"/>
          </w:tcPr>
          <w:p>
            <w:r>
              <w:t>AI Analytics Setup</w:t>
            </w:r>
          </w:p>
        </w:tc>
        <w:tc>
          <w:tcPr>
            <w:tcW w:type="dxa" w:w="2160"/>
          </w:tcPr>
          <w:p>
            <w:r>
              <w:t>2,140</w:t>
            </w:r>
          </w:p>
        </w:tc>
        <w:tc>
          <w:tcPr>
            <w:tcW w:type="dxa" w:w="2160"/>
          </w:tcPr>
          <w:p>
            <w:r>
              <w:t>24%</w:t>
            </w:r>
          </w:p>
        </w:tc>
        <w:tc>
          <w:tcPr>
            <w:tcW w:type="dxa" w:w="2160"/>
          </w:tcPr>
          <w:p>
            <w:r>
              <w:t>10.2 hrs</w:t>
            </w:r>
          </w:p>
        </w:tc>
      </w:tr>
      <w:tr>
        <w:tc>
          <w:tcPr>
            <w:tcW w:type="dxa" w:w="2160"/>
          </w:tcPr>
          <w:p>
            <w:r>
              <w:t>API Integration Errors</w:t>
            </w:r>
          </w:p>
        </w:tc>
        <w:tc>
          <w:tcPr>
            <w:tcW w:type="dxa" w:w="2160"/>
          </w:tcPr>
          <w:p>
            <w:r>
              <w:t>1,780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8.4 hrs</w:t>
            </w:r>
          </w:p>
        </w:tc>
      </w:tr>
      <w:tr>
        <w:tc>
          <w:tcPr>
            <w:tcW w:type="dxa" w:w="2160"/>
          </w:tcPr>
          <w:p>
            <w:r>
              <w:t>Billing &amp; Account</w:t>
            </w:r>
          </w:p>
        </w:tc>
        <w:tc>
          <w:tcPr>
            <w:tcW w:type="dxa" w:w="2160"/>
          </w:tcPr>
          <w:p>
            <w:r>
              <w:t>1,335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3.1 hrs</w:t>
            </w:r>
          </w:p>
        </w:tc>
      </w:tr>
      <w:tr>
        <w:tc>
          <w:tcPr>
            <w:tcW w:type="dxa" w:w="2160"/>
          </w:tcPr>
          <w:p>
            <w:r>
              <w:t>Performance/Latency</w:t>
            </w:r>
          </w:p>
        </w:tc>
        <w:tc>
          <w:tcPr>
            <w:tcW w:type="dxa" w:w="2160"/>
          </w:tcPr>
          <w:p>
            <w:r>
              <w:t>1,068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6.7 hrs</w:t>
            </w:r>
          </w:p>
        </w:tc>
      </w:tr>
      <w:tr>
        <w:tc>
          <w:tcPr>
            <w:tcW w:type="dxa" w:w="2160"/>
          </w:tcPr>
          <w:p>
            <w:r>
              <w:t>Feature Requests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1.2 hrs</w:t>
            </w:r>
          </w:p>
        </w:tc>
      </w:tr>
      <w:tr>
        <w:tc>
          <w:tcPr>
            <w:tcW w:type="dxa" w:w="2160"/>
          </w:tcPr>
          <w:p>
            <w:r>
              <w:t>Security/Access</w:t>
            </w:r>
          </w:p>
        </w:tc>
        <w:tc>
          <w:tcPr>
            <w:tcW w:type="dxa" w:w="2160"/>
          </w:tcPr>
          <w:p>
            <w:r>
              <w:t>712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4.8 hrs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975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5.3 hrs</w:t>
            </w:r>
          </w:p>
        </w:tc>
      </w:tr>
    </w:tbl>
    <w:p>
      <w:pPr>
        <w:pStyle w:val="Heading1"/>
      </w:pPr>
      <w:r>
        <w:t>Cost Optimization</w:t>
      </w:r>
    </w:p>
    <w:p>
      <w:pPr>
        <w:pStyle w:val="Heading2"/>
      </w:pPr>
      <w:r>
        <w:t>Cloud Infrastructure</w:t>
      </w:r>
    </w:p>
    <w:p>
      <w:r>
        <w:t>October cloud spend: $2.84M (budget: $3.0M)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Cloud Provider</w:t>
            </w:r>
          </w:p>
        </w:tc>
        <w:tc>
          <w:tcPr>
            <w:tcW w:type="dxa" w:w="2160"/>
          </w:tcPr>
          <w:p>
            <w:r>
              <w:t>Monthly Spend</w:t>
            </w:r>
          </w:p>
        </w:tc>
        <w:tc>
          <w:tcPr>
            <w:tcW w:type="dxa" w:w="2160"/>
          </w:tcPr>
          <w:p>
            <w:r>
              <w:t>YoY Change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AWS (primary)</w:t>
            </w:r>
          </w:p>
        </w:tc>
        <w:tc>
          <w:tcPr>
            <w:tcW w:type="dxa" w:w="2160"/>
          </w:tcPr>
          <w:p>
            <w:r>
              <w:t>$2.12M</w:t>
            </w:r>
          </w:p>
        </w:tc>
        <w:tc>
          <w:tcPr>
            <w:tcW w:type="dxa" w:w="2160"/>
          </w:tcPr>
          <w:p>
            <w:r>
              <w:t>+18%</w:t>
            </w:r>
          </w:p>
        </w:tc>
        <w:tc>
          <w:tcPr>
            <w:tcW w:type="dxa" w:w="2160"/>
          </w:tcPr>
          <w:p>
            <w:r>
              <w:t>Right-sizing underway</w:t>
            </w:r>
          </w:p>
        </w:tc>
      </w:tr>
      <w:tr>
        <w:tc>
          <w:tcPr>
            <w:tcW w:type="dxa" w:w="2160"/>
          </w:tcPr>
          <w:p>
            <w:r>
              <w:t>GCP (AI/ML)</w:t>
            </w:r>
          </w:p>
        </w:tc>
        <w:tc>
          <w:tcPr>
            <w:tcW w:type="dxa" w:w="2160"/>
          </w:tcPr>
          <w:p>
            <w:r>
              <w:t>$0.52M</w:t>
            </w:r>
          </w:p>
        </w:tc>
        <w:tc>
          <w:tcPr>
            <w:tcW w:type="dxa" w:w="2160"/>
          </w:tcPr>
          <w:p>
            <w:r>
              <w:t>+45%</w:t>
            </w:r>
          </w:p>
        </w:tc>
        <w:tc>
          <w:tcPr>
            <w:tcW w:type="dxa" w:w="2160"/>
          </w:tcPr>
          <w:p>
            <w:r>
              <w:t>Expected — AI growth</w:t>
            </w:r>
          </w:p>
        </w:tc>
      </w:tr>
      <w:tr>
        <w:tc>
          <w:tcPr>
            <w:tcW w:type="dxa" w:w="2160"/>
          </w:tcPr>
          <w:p>
            <w:r>
              <w:t>Azure (hybrid)</w:t>
            </w:r>
          </w:p>
        </w:tc>
        <w:tc>
          <w:tcPr>
            <w:tcW w:type="dxa" w:w="2160"/>
          </w:tcPr>
          <w:p>
            <w:r>
              <w:t>$0.20M</w:t>
            </w:r>
          </w:p>
        </w:tc>
        <w:tc>
          <w:tcPr>
            <w:tcW w:type="dxa" w:w="2160"/>
          </w:tcPr>
          <w:p>
            <w:r>
              <w:t>-5%</w:t>
            </w:r>
          </w:p>
        </w:tc>
        <w:tc>
          <w:tcPr>
            <w:tcW w:type="dxa" w:w="2160"/>
          </w:tcPr>
          <w:p>
            <w:r>
              <w:t>Migration to AWS ongoing</w:t>
            </w:r>
          </w:p>
        </w:tc>
      </w:tr>
    </w:tbl>
    <w:p>
      <w:r>
        <w:t>Annualized cloud optimization savings: $4.2M — Reserved instances ($1.8M), Spot instances ($0.9M), Storage optimization ($0.6M), Unused cleanup ($0.9M).</w:t>
      </w:r>
    </w:p>
    <w:p>
      <w:pPr>
        <w:pStyle w:val="Heading1"/>
      </w:pPr>
      <w:r>
        <w:t>Process Improvement Initiatives</w:t>
      </w:r>
    </w:p>
    <w:p>
      <w:pPr>
        <w:pStyle w:val="ListBullet"/>
      </w:pPr>
      <w:r>
        <w:t>CI/CD Pipeline Upgrade: Migrated to GitHub Actions, reducing build times by 40%</w:t>
      </w:r>
    </w:p>
    <w:p>
      <w:pPr>
        <w:pStyle w:val="ListBullet"/>
      </w:pPr>
      <w:r>
        <w:t>Observability Stack: Deployed Datadog APM across all microservices — MTTR improved 57%</w:t>
      </w:r>
    </w:p>
    <w:p>
      <w:pPr>
        <w:pStyle w:val="ListBullet"/>
      </w:pPr>
      <w:r>
        <w:t>Incident Management: PagerDuty with automated runbooks for top 15 incident types</w:t>
      </w:r>
    </w:p>
    <w:p>
      <w:pPr>
        <w:pStyle w:val="ListBullet"/>
      </w:pPr>
      <w:r>
        <w:t>Knowledge Base: 120 new articles in Q3; self-service resolution rate up to 42% (from 28%)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