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Adobe Inc. — Strategic Planning Notes</w:t>
      </w:r>
    </w:p>
    <w:p>
      <w:r>
        <w:rPr>
          <w:b/>
        </w:rPr>
        <w:t xml:space="preserve">Document Classification: </w:t>
      </w:r>
      <w:r>
        <w:t>Internal — Leadership Only</w:t>
        <w:br/>
      </w:r>
      <w:r>
        <w:rPr>
          <w:b/>
        </w:rPr>
        <w:t xml:space="preserve">Prepared by: </w:t>
      </w:r>
      <w:r>
        <w:t>Chief Strategy Officer</w:t>
        <w:br/>
      </w:r>
      <w:r>
        <w:rPr>
          <w:b/>
        </w:rPr>
        <w:t xml:space="preserve">Date: </w:t>
      </w:r>
      <w:r>
        <w:t>November 2024</w:t>
        <w:br/>
      </w:r>
      <w:r>
        <w:rPr>
          <w:b/>
        </w:rPr>
        <w:t xml:space="preserve">Status: </w:t>
      </w:r>
      <w:r>
        <w:t>Draft for Executive Review</w:t>
      </w:r>
    </w:p>
    <w:p>
      <w:pPr>
        <w:pStyle w:val="Heading1"/>
      </w:pPr>
      <w:r>
        <w:t>Strategic Assessment: Department Performance Review</w:t>
      </w:r>
    </w:p>
    <w:p>
      <w:pPr>
        <w:pStyle w:val="Heading2"/>
      </w:pPr>
      <w:r>
        <w:t>Summary</w:t>
      </w:r>
    </w:p>
    <w:p>
      <w:r>
        <w:t>Following the Q3 results review, the executive team has identified three departments requiring immediate strategic intervention: Marketing, Customer Support, and HR. This memo outlines the root cause analysis and proposed remediation strategies.</w:t>
      </w:r>
    </w:p>
    <w:p>
      <w:pPr>
        <w:pStyle w:val="Heading2"/>
      </w:pPr>
      <w:r>
        <w:t>Marketing — Critical Underperformance</w:t>
      </w:r>
    </w:p>
    <w:p>
      <w:r>
        <w:t>Current State: Marketing scored 58/100 on the Q3 departmental scorecard, the lowest score for this department in 3 years. MQL generation is at 72% of annual target with one quarter remaining.</w:t>
      </w:r>
    </w:p>
    <w:p>
      <w:pPr>
        <w:pStyle w:val="Heading3"/>
      </w:pPr>
      <w:r>
        <w:t>Root Cause Analysis:</w:t>
      </w:r>
    </w:p>
    <w:p>
      <w:pPr>
        <w:pStyle w:val="ListBullet"/>
      </w:pPr>
      <w:r>
        <w:t>Over-reliance on paid digital channels (68% of marketing budget) while paid search ROI decreased from 4.2x to 2.8x</w:t>
      </w:r>
    </w:p>
    <w:p>
      <w:pPr>
        <w:pStyle w:val="ListBullet"/>
      </w:pPr>
      <w:r>
        <w:t>Failure to adapt to market changes: competitor ad spend increased 40% in our target keywords</w:t>
      </w:r>
    </w:p>
    <w:p>
      <w:pPr>
        <w:pStyle w:val="ListBullet"/>
      </w:pPr>
      <w:r>
        <w:t>Insufficient ABM (Account-Based Marketing) investment: only 12% of marketing budget vs. industry average of 35%</w:t>
      </w:r>
    </w:p>
    <w:p>
      <w:pPr>
        <w:pStyle w:val="ListBullet"/>
      </w:pPr>
      <w:r>
        <w:t>Marketing technology stack underutilized — CRM data integration at only 45% completion</w:t>
      </w:r>
    </w:p>
    <w:p>
      <w:pPr>
        <w:pStyle w:val="ListBullet"/>
      </w:pPr>
      <w:r>
        <w:t>Content production velocity: 4 pieces/week vs. target of 10 pieces/week</w:t>
      </w:r>
    </w:p>
    <w:p>
      <w:pPr>
        <w:pStyle w:val="Heading3"/>
      </w:pPr>
      <w:r>
        <w:t>Recommended Actions:</w:t>
      </w:r>
    </w:p>
    <w:p>
      <w:r>
        <w:t>1. Reallocate 30% of paid search budget to ABM programs — estimated impact: +40% enterprise pipeline</w:t>
      </w:r>
    </w:p>
    <w:p>
      <w:r>
        <w:t>2. Hire VP of Demand Generation (open req since July — must fill by January)</w:t>
      </w:r>
    </w:p>
    <w:p>
      <w:r>
        <w:t>3. Complete CRM integration by Q1 2025 to enable lead scoring and attribution</w:t>
      </w:r>
    </w:p>
    <w:p>
      <w:r>
        <w:t>4. Partner with Sales for joint account targeting — aligned account list of top 200 prospects</w:t>
      </w:r>
    </w:p>
    <w:p>
      <w:r>
        <w:t>5. Set quarterly marketing OKR reviews (currently reviewed only semi-annually)</w:t>
      </w:r>
    </w:p>
    <w:p>
      <w:r>
        <w:t>Investment Required: $2.4M incremental budget for ABM + content + hiring</w:t>
      </w:r>
    </w:p>
    <w:p>
      <w:r>
        <w:t>Expected ROI: 3.5x within 12 months based on enterprise pipeline conversion rates</w:t>
      </w:r>
    </w:p>
    <w:p>
      <w:pPr>
        <w:pStyle w:val="Heading2"/>
      </w:pPr>
      <w:r>
        <w:t>Customer Support — Urgent Stabilization Needed</w:t>
      </w:r>
    </w:p>
    <w:p>
      <w:r>
        <w:t>Current State: CSAT declined from 82% (Q4 2023) to 68% (Q3 2024) — a 14-point drop over 3 quarters. This is an existential risk to customer retention.</w:t>
      </w:r>
    </w:p>
    <w:p>
      <w:r>
        <w:t>Trajectory if Uncorrected: Projected CSAT by Q1 2025: 62%. At CSAT below 65%, historical data shows gross retention drops below 85%. Revenue at risk: $28M in renewal revenue.</w:t>
      </w:r>
    </w:p>
    <w:p>
      <w:pPr>
        <w:pStyle w:val="Heading3"/>
      </w:pPr>
      <w:r>
        <w:t>Root Cause Analysis:</w:t>
      </w:r>
    </w:p>
    <w:p>
      <w:pPr>
        <w:pStyle w:val="ListBullet"/>
      </w:pPr>
      <w:r>
        <w:t>Headcount shortfall: 94 agents vs. 120 required based on ticket volume model</w:t>
      </w:r>
    </w:p>
    <w:p>
      <w:pPr>
        <w:pStyle w:val="ListBullet"/>
      </w:pPr>
      <w:r>
        <w:t>Turnover crisis: 28% annualized, destroying institutional knowledge</w:t>
      </w:r>
    </w:p>
    <w:p>
      <w:pPr>
        <w:pStyle w:val="ListBullet"/>
      </w:pPr>
      <w:r>
        <w:t>Compensation below market: support agent pay is 15% below market median</w:t>
      </w:r>
    </w:p>
    <w:p>
      <w:pPr>
        <w:pStyle w:val="ListBullet"/>
      </w:pPr>
      <w:r>
        <w:t>Tool gaps: no AI-assisted triage, manual categorization adds 20 minutes per ticket</w:t>
      </w:r>
    </w:p>
    <w:p>
      <w:pPr>
        <w:pStyle w:val="ListBullet"/>
      </w:pPr>
      <w:r>
        <w:t>Training lag: average new agent ramp time is 12 weeks (industry benchmark: 6 weeks)</w:t>
      </w:r>
    </w:p>
    <w:p>
      <w:pPr>
        <w:pStyle w:val="Heading3"/>
      </w:pPr>
      <w:r>
        <w:t>Recommended Actions:</w:t>
      </w:r>
    </w:p>
    <w:p>
      <w:r>
        <w:t>1. Emergency hiring: fill 25 positions by end of Q1 2025 (currently 18 open)</w:t>
      </w:r>
    </w:p>
    <w:p>
      <w:r>
        <w:t>2. Market adjustment: 15% compensation increase for all support agents ($1.8M annual cost)</w:t>
      </w:r>
    </w:p>
    <w:p>
      <w:r>
        <w:t>3. Deploy AI ticket triage by Q1 2025 (vendor shortlist: Zendesk AI, Intercom, custom build)</w:t>
      </w:r>
    </w:p>
    <w:p>
      <w:r>
        <w:t>4. Create dedicated product support specialization track — reduce ramp time to 8 weeks</w:t>
      </w:r>
    </w:p>
    <w:p>
      <w:r>
        <w:t>5. Weekly CSAT tracking and executive review (currently monthly)</w:t>
      </w:r>
    </w:p>
    <w:p>
      <w:r>
        <w:t>Investment Required: $4.1M (hiring + compensation + tooling)</w:t>
      </w:r>
    </w:p>
    <w:p>
      <w:r>
        <w:t>Expected Impact: CSAT recovery to 75% by Q2 2025, 80% by Q4 2025</w:t>
      </w:r>
    </w:p>
    <w:p>
      <w:pPr>
        <w:pStyle w:val="Heading2"/>
      </w:pPr>
      <w:r>
        <w:t>HR / People — Structural Issues</w:t>
      </w:r>
    </w:p>
    <w:p>
      <w:r>
        <w:t>Current State: Organization-wide turnover at 23% vs. 15% target. Engagement score 3.2/5.0, lowest in 5 years.</w:t>
      </w:r>
    </w:p>
    <w:p>
      <w:pPr>
        <w:pStyle w:val="Heading3"/>
      </w:pPr>
      <w:r>
        <w:t>Key Findings:</w:t>
      </w:r>
    </w:p>
    <w:p>
      <w:pPr>
        <w:pStyle w:val="ListBullet"/>
      </w:pPr>
      <w:r>
        <w:t>Compensation lag: total compensation is 8-12% below market for engineering and support roles</w:t>
      </w:r>
    </w:p>
    <w:p>
      <w:pPr>
        <w:pStyle w:val="ListBullet"/>
      </w:pPr>
      <w:r>
        <w:t>Career pathing: 45% of exit interviews cite 'limited growth opportunities'</w:t>
      </w:r>
    </w:p>
    <w:p>
      <w:pPr>
        <w:pStyle w:val="ListBullet"/>
      </w:pPr>
      <w:r>
        <w:t>Manager effectiveness: bottom-quartile managers have 3x the turnover of top-quartile</w:t>
      </w:r>
    </w:p>
    <w:p>
      <w:pPr>
        <w:pStyle w:val="ListBullet"/>
      </w:pPr>
      <w:r>
        <w:t>Remote work policy inconsistency across departments creating equity concerns</w:t>
      </w:r>
    </w:p>
    <w:p>
      <w:pPr>
        <w:pStyle w:val="ListBullet"/>
      </w:pPr>
      <w:r>
        <w:t>Benefits competitive analysis shows health plan ranked in bottom 25% of peer companies</w:t>
      </w:r>
    </w:p>
    <w:p>
      <w:pPr>
        <w:pStyle w:val="Heading3"/>
      </w:pPr>
      <w:r>
        <w:t>Recommended Actions:</w:t>
      </w:r>
    </w:p>
    <w:p>
      <w:r>
        <w:t>1. Company-wide compensation review and market adjustment (Q1 2025, estimated cost: $6.2M)</w:t>
      </w:r>
    </w:p>
    <w:p>
      <w:r>
        <w:t>2. Launch formal career ladder framework for all departments</w:t>
      </w:r>
    </w:p>
    <w:p>
      <w:r>
        <w:t>3. Manager training program: mandatory leadership development for all people managers</w:t>
      </w:r>
    </w:p>
    <w:p>
      <w:r>
        <w:t>4. Standardize hybrid work policy: minimum 2 days in office, flexible scheduling</w:t>
      </w:r>
    </w:p>
    <w:p>
      <w:r>
        <w:t>5. Benefits upgrade: evaluate enhanced health plan, mental health support, education stipend</w:t>
      </w:r>
    </w:p>
    <w:p>
      <w:pPr>
        <w:pStyle w:val="Heading1"/>
      </w:pPr>
      <w:r>
        <w:t>Competitive Landscape</w:t>
      </w:r>
    </w:p>
    <w:p>
      <w:r>
        <w:t>Two competitors launched AI-powered analytics products in Q3 2024:</w:t>
      </w:r>
    </w:p>
    <w:p>
      <w:pPr>
        <w:pStyle w:val="Heading2"/>
      </w:pPr>
      <w:r>
        <w:t>CompetitorX — "InsightAI" (launched August 2024)</w:t>
      </w:r>
    </w:p>
    <w:p>
      <w:pPr>
        <w:pStyle w:val="ListBullet"/>
      </w:pPr>
      <w:r>
        <w:t>Direct competitor to our AI Analytics Platform</w:t>
      </w:r>
    </w:p>
    <w:p>
      <w:pPr>
        <w:pStyle w:val="ListBullet"/>
      </w:pPr>
      <w:r>
        <w:t>Pricing: 20% below our list price</w:t>
      </w:r>
    </w:p>
    <w:p>
      <w:pPr>
        <w:pStyle w:val="ListBullet"/>
      </w:pPr>
      <w:r>
        <w:t>Current traction: 15 enterprise customers (mostly in financial services)</w:t>
      </w:r>
    </w:p>
    <w:p>
      <w:pPr>
        <w:pStyle w:val="ListBullet"/>
      </w:pPr>
      <w:r>
        <w:t>Strength: pre-built industry templates</w:t>
      </w:r>
    </w:p>
    <w:p>
      <w:pPr>
        <w:pStyle w:val="ListBullet"/>
      </w:pPr>
      <w:r>
        <w:t>Weakness: limited customization, no on-premise option</w:t>
      </w:r>
    </w:p>
    <w:p>
      <w:pPr>
        <w:pStyle w:val="Heading2"/>
      </w:pPr>
      <w:r>
        <w:t>CompetitorY — "DataPulse" (launched September 2024)</w:t>
      </w:r>
    </w:p>
    <w:p>
      <w:pPr>
        <w:pStyle w:val="ListBullet"/>
      </w:pPr>
      <w:r>
        <w:t>Focus on self-service analytics for mid-market</w:t>
      </w:r>
    </w:p>
    <w:p>
      <w:pPr>
        <w:pStyle w:val="ListBullet"/>
      </w:pPr>
      <w:r>
        <w:t>Pricing: Consumption-based, aggressive introductory offers</w:t>
      </w:r>
    </w:p>
    <w:p>
      <w:pPr>
        <w:pStyle w:val="ListBullet"/>
      </w:pPr>
      <w:r>
        <w:t>Current traction: 45 mid-market customers</w:t>
      </w:r>
    </w:p>
    <w:p>
      <w:pPr>
        <w:pStyle w:val="ListBullet"/>
      </w:pPr>
      <w:r>
        <w:t>Strength: ease of implementation (avg 2 weeks vs. our 6 weeks)</w:t>
      </w:r>
    </w:p>
    <w:p>
      <w:pPr>
        <w:pStyle w:val="ListBullet"/>
      </w:pPr>
      <w:r>
        <w:t>Weakness: limited security certifications, no SOC 2 Type II</w:t>
      </w:r>
    </w:p>
    <w:p>
      <w:r>
        <w:t>Strategic Response: Accelerate AI Analytics Platform GA, invest in rapid deployment tools to reduce implementation from 6 weeks to 2 weeks, and leverage security certifications as differentiation for regulated industries.</w:t>
      </w:r>
    </w:p>
    <w:p>
      <w:pPr>
        <w:pStyle w:val="Heading1"/>
      </w:pPr>
      <w:r>
        <w:t>Investment Priorities for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Expected Impact</w:t>
            </w:r>
          </w:p>
        </w:tc>
      </w:tr>
      <w:tr>
        <w:tc>
          <w:tcPr>
            <w:tcW w:type="dxa" w:w="2160"/>
          </w:tcPr>
          <w:p>
            <w:r>
              <w:t>AI Analytics GA</w:t>
            </w:r>
          </w:p>
        </w:tc>
        <w:tc>
          <w:tcPr>
            <w:tcW w:type="dxa" w:w="2160"/>
          </w:tcPr>
          <w:p>
            <w:r>
              <w:t>Complete platform, launch to all segments</w:t>
            </w:r>
          </w:p>
        </w:tc>
        <w:tc>
          <w:tcPr>
            <w:tcW w:type="dxa" w:w="2160"/>
          </w:tcPr>
          <w:p>
            <w:r>
              <w:t>$8.5M</w:t>
            </w:r>
          </w:p>
        </w:tc>
        <w:tc>
          <w:tcPr>
            <w:tcW w:type="dxa" w:w="2160"/>
          </w:tcPr>
          <w:p>
            <w:r>
              <w:t>$20M new revenue</w:t>
            </w:r>
          </w:p>
        </w:tc>
      </w:tr>
      <w:tr>
        <w:tc>
          <w:tcPr>
            <w:tcW w:type="dxa" w:w="2160"/>
          </w:tcPr>
          <w:p>
            <w:r>
              <w:t>Customer Support Fix</w:t>
            </w:r>
          </w:p>
        </w:tc>
        <w:tc>
          <w:tcPr>
            <w:tcW w:type="dxa" w:w="2160"/>
          </w:tcPr>
          <w:p>
            <w:r>
              <w:t>Hiring, compensation, AI tooling</w:t>
            </w:r>
          </w:p>
        </w:tc>
        <w:tc>
          <w:tcPr>
            <w:tcW w:type="dxa" w:w="2160"/>
          </w:tcPr>
          <w:p>
            <w:r>
              <w:t>$4.1M</w:t>
            </w:r>
          </w:p>
        </w:tc>
        <w:tc>
          <w:tcPr>
            <w:tcW w:type="dxa" w:w="2160"/>
          </w:tcPr>
          <w:p>
            <w:r>
              <w:t>Protect $28M retention revenue</w:t>
            </w:r>
          </w:p>
        </w:tc>
      </w:tr>
      <w:tr>
        <w:tc>
          <w:tcPr>
            <w:tcW w:type="dxa" w:w="2160"/>
          </w:tcPr>
          <w:p>
            <w:r>
              <w:t>Marketing Reset</w:t>
            </w:r>
          </w:p>
        </w:tc>
        <w:tc>
          <w:tcPr>
            <w:tcW w:type="dxa" w:w="2160"/>
          </w:tcPr>
          <w:p>
            <w:r>
              <w:t>ABM, content, demand gen</w:t>
            </w:r>
          </w:p>
        </w:tc>
        <w:tc>
          <w:tcPr>
            <w:tcW w:type="dxa" w:w="2160"/>
          </w:tcPr>
          <w:p>
            <w:r>
              <w:t>$2.4M</w:t>
            </w:r>
          </w:p>
        </w:tc>
        <w:tc>
          <w:tcPr>
            <w:tcW w:type="dxa" w:w="2160"/>
          </w:tcPr>
          <w:p>
            <w:r>
              <w:t>+40% enterprise pipeline</w:t>
            </w:r>
          </w:p>
        </w:tc>
      </w:tr>
      <w:tr>
        <w:tc>
          <w:tcPr>
            <w:tcW w:type="dxa" w:w="2160"/>
          </w:tcPr>
          <w:p>
            <w:r>
              <w:t>Compensation Adjustment</w:t>
            </w:r>
          </w:p>
        </w:tc>
        <w:tc>
          <w:tcPr>
            <w:tcW w:type="dxa" w:w="2160"/>
          </w:tcPr>
          <w:p>
            <w:r>
              <w:t>Market-rate alignment</w:t>
            </w:r>
          </w:p>
        </w:tc>
        <w:tc>
          <w:tcPr>
            <w:tcW w:type="dxa" w:w="2160"/>
          </w:tcPr>
          <w:p>
            <w:r>
              <w:t>$6.2M</w:t>
            </w:r>
          </w:p>
        </w:tc>
        <w:tc>
          <w:tcPr>
            <w:tcW w:type="dxa" w:w="2160"/>
          </w:tcPr>
          <w:p>
            <w:r>
              <w:t>Reduce turnover to 16%</w:t>
            </w:r>
          </w:p>
        </w:tc>
      </w:tr>
      <w:tr>
        <w:tc>
          <w:tcPr>
            <w:tcW w:type="dxa" w:w="2160"/>
          </w:tcPr>
          <w:p>
            <w:r>
              <w:t>Security Hardening</w:t>
            </w:r>
          </w:p>
        </w:tc>
        <w:tc>
          <w:tcPr>
            <w:tcW w:type="dxa" w:w="2160"/>
          </w:tcPr>
          <w:p>
            <w:r>
              <w:t>Pen testing, code review, compliance</w:t>
            </w:r>
          </w:p>
        </w:tc>
        <w:tc>
          <w:tcPr>
            <w:tcW w:type="dxa" w:w="2160"/>
          </w:tcPr>
          <w:p>
            <w:r>
              <w:t>$3.8M</w:t>
            </w:r>
          </w:p>
        </w:tc>
        <w:tc>
          <w:tcPr>
            <w:tcW w:type="dxa" w:w="2160"/>
          </w:tcPr>
          <w:p>
            <w:r>
              <w:t>Regulatory compliance + trust</w:t>
            </w:r>
          </w:p>
        </w:tc>
      </w:tr>
      <w:tr>
        <w:tc>
          <w:tcPr>
            <w:tcW w:type="dxa" w:w="2160"/>
          </w:tcPr>
          <w:p>
            <w:r>
              <w:t>International Launch</w:t>
            </w:r>
          </w:p>
        </w:tc>
        <w:tc>
          <w:tcPr>
            <w:tcW w:type="dxa" w:w="2160"/>
          </w:tcPr>
          <w:p>
            <w:r>
              <w:t>EU market entry</w:t>
            </w:r>
          </w:p>
        </w:tc>
        <w:tc>
          <w:tcPr>
            <w:tcW w:type="dxa" w:w="2160"/>
          </w:tcPr>
          <w:p>
            <w:r>
              <w:t>$5.0M</w:t>
            </w:r>
          </w:p>
        </w:tc>
        <w:tc>
          <w:tcPr>
            <w:tcW w:type="dxa" w:w="2160"/>
          </w:tcPr>
          <w:p>
            <w:r>
              <w:t>$15M incremental revenue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$30.0M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