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942"/>
          <w:sz w:val="40"/>
        </w:rPr>
        <w:t>Aptimizer: Master Product Roadmap &amp; Technical Remediation Plan</w:t>
      </w:r>
    </w:p>
    <w:p>
      <w:r>
        <w:rPr>
          <w:rFonts w:ascii="Arial" w:hAnsi="Arial"/>
          <w:color w:val="64748B"/>
          <w:sz w:val="20"/>
        </w:rPr>
        <w:t>From Conceptual Planning to Legally Defensible Civil Engineering AI OS | September 2026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rPr>
          <w:color w:val="0F2942"/>
        </w:rPr>
        <w:t>1. Executive Context &amp; Audit Summary</w:t>
      </w:r>
    </w:p>
    <w:p>
      <w:r>
        <w:t>Aptimizer has established an extraordinary algorithmic foundation across Versions 1 to 3, boasting 324 built features including polygon setback generation, greedy and genetic layout packing, IS/NBC structural checks, CPM scheduling with congestion curves, and an in-app AI assistant (APT) backed by a 74-clause IS/NBC RAG registry. However, to transition from a conceptual feasibility tool to an enterprise-grade civil engineering operating system used by Tier-1 developers and contractors, Aptimizer must overcome critical gaps in CAD/BIM interoperability, structural realism, and statutory compliance.</w:t>
      </w:r>
    </w:p>
    <w:p>
      <w:pPr>
        <w:pStyle w:val="Heading1"/>
      </w:pPr>
      <w:r>
        <w:rPr>
          <w:color w:val="0F2942"/>
        </w:rPr>
        <w:t>2. Existing Features to Fix &amp; Technical Remediation</w:t>
      </w:r>
    </w:p>
    <w:p>
      <w:r>
        <w:rPr>
          <w:b/>
          <w:color w:val="1D4ED8"/>
          <w:sz w:val="22"/>
        </w:rPr>
        <w:t>1. Structural Column Biaxial Moments &amp; High-Rise Foundations (backend/engineering.py)</w:t>
      </w:r>
    </w:p>
    <w:p>
      <w:r>
        <w:t>WHAT is broken: Column sizing relies solely on axial capacity (IS 456 Cl. 39.3), severely undersizing columns subjected to seismic/wind overturning moments. Module 3 prescribes isolated footings even for tall towers.</w:t>
        <w:br/>
        <w:t>HOW to fix it: Implement IS 456 Cl. 39.6 Bresler biaxial interaction curves [(Mux/Mux1)^an + (Muy/Muy1)^an &lt;= 1.0]. Introduce an automated Foundation Advisor selecting RCC Raft Foundations (IS 2950) when contact pressure exceeds soil SBC, and Bored Cast-in-Situ Piles (IS 2911) for buildings &gt;45m or on soft soil.</w:t>
        <w:br/>
        <w:t>WHY: Structural consultants will immediately reject plans without biaxial moment and realistic foundation checks.</w:t>
      </w:r>
    </w:p>
    <w:p>
      <w:r>
        <w:rPr>
          <w:b/>
          <w:color w:val="1D4ED8"/>
          <w:sz w:val="22"/>
        </w:rPr>
        <w:t>2. Procedural Floor Plan Hierarchy &amp; Core Pinning (backend/floorplan/)</w:t>
      </w:r>
    </w:p>
    <w:p>
      <w:r>
        <w:t>WHAT is broken: Room layouts are generated by slicing the perimeter footprint inward, producing unbuildable plans without pinned vertical circulation and MEP shafts.</w:t>
        <w:br/>
        <w:t>HOW to fix it: Invert the hierarchy. Pin the central structural core first (two 1.5m fire stairs per NBC Part 4, passenger/fire lifts, and 4 MEP risers). Grow residential wings outward from the frozen core.</w:t>
        <w:br/>
        <w:t>WHY: High-rise structural stability and MEP efficiency require continuous vertical riser alignment from foundation to terrace.</w:t>
      </w:r>
    </w:p>
    <w:p>
      <w:r>
        <w:rPr>
          <w:b/>
          <w:color w:val="1D4ED8"/>
          <w:sz w:val="22"/>
        </w:rPr>
        <w:t>3. Statutory Area Accounting &amp; RERA Carpet Schedule (backend/engine.py)</w:t>
      </w:r>
    </w:p>
    <w:p>
      <w:r>
        <w:t>WHAT is broken: Relies on legacy Super Built-Up area heuristics. Under the Indian RERA Act 2016, selling apartments on super built-up is illegal.</w:t>
        <w:br/>
        <w:t>HOW to fix it: Implement statutory Section 2(k) RERA Carpet Area (Internal Usable Area + Internal Partition Walls, strictly excluding exterior walls, service shafts, and balconies). Provide certified RERA schedules.</w:t>
        <w:br/>
        <w:t>WHY: Indian real estate developers cannot legally launch or finance projects without certified RERA carpet figures.</w:t>
      </w:r>
    </w:p>
    <w:p>
      <w:r>
        <w:rPr>
          <w:b/>
          <w:color w:val="1D4ED8"/>
          <w:sz w:val="22"/>
        </w:rPr>
        <w:t>4. BOQ Substructure vs Superstructure Split &amp; CPWD DSR Mapping (backend/takeoff.py)</w:t>
      </w:r>
    </w:p>
    <w:p>
      <w:r>
        <w:t>WHAT is broken: Concrete, steel, and earthwork are lumped as a project-wide uniform rate without distinguishing between foundation and typical floors.</w:t>
        <w:br/>
        <w:t>HOW to fix it: Split BOQ into Package A (Substructure: deep excavation, shoring, raft, waterproofing) and Package B (Superstructure: repetitive slabs, columns, finishes). Map items to 5-digit CPWD Delhi Schedule of Rates (DSR) codes.</w:t>
        <w:br/>
        <w:t>WHY: Banks and contractors bid substructure and superstructure separately. DSR mapping enables government/tender adoption.</w:t>
      </w:r>
    </w:p>
    <w:p>
      <w:r>
        <w:rPr>
          <w:b/>
          <w:color w:val="1D4ED8"/>
          <w:sz w:val="22"/>
        </w:rPr>
        <w:t>5. Construction Programme Climate Windows &amp; Tower Crane Cycles (backend/schedule.py)</w:t>
      </w:r>
    </w:p>
    <w:p>
      <w:r>
        <w:t>WHAT is broken: Schedule assumes uniform year-round productivity and infinite material hoist speed.</w:t>
        <w:br/>
        <w:t>HOW to fix it: Add regional Monsoon Calendar Blackouts (June–September) for excavation/external plastering. Constrain floor cycles by Tower Crane hook cycle times [Cycle = max(Striking, Tonnage/Crane Hoist Rate)].</w:t>
        <w:br/>
        <w:t>WHY: Any contractor will reject a schedule showing basement excavation in Mumbai or Bengaluru during peak July monsoons.</w:t>
      </w:r>
    </w:p>
    <w:p>
      <w:r>
        <w:rPr>
          <w:b/>
          <w:color w:val="1D4ED8"/>
          <w:sz w:val="22"/>
        </w:rPr>
        <w:t>6. Internal Road Geometry &amp; Fire Tender Swept-Path (backend/siteplan/reserve.py)</w:t>
      </w:r>
    </w:p>
    <w:p>
      <w:r>
        <w:t>WHAT is broken: Road network junctions are sharp 90-degree polygon vertices lacking fire tender clearance.</w:t>
        <w:br/>
        <w:t>HOW to fix it: Apply a fillet curve with minimum inside turning radius Rin &gt;= 9.0m (12.0m outside) per NBC Part 4.</w:t>
        <w:br/>
        <w:t>WHY: Fire NOC is the single most common cause of municipal site plan rejection.</w:t>
      </w:r>
    </w:p>
    <w:p>
      <w:pPr>
        <w:pStyle w:val="Heading1"/>
      </w:pPr>
      <w:r>
        <w:rPr>
          <w:color w:val="0F2942"/>
        </w:rPr>
        <w:t>3. What to Do Next: Multi-Phase Product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942"/>
          </w:tcPr>
          <w:p>
            <w:r>
              <w:rPr>
                <w:b/>
                <w:color w:val="FFFFFF"/>
              </w:rPr>
              <w:t>Phase &amp; Timeline</w:t>
            </w:r>
          </w:p>
        </w:tc>
        <w:tc>
          <w:tcPr>
            <w:tcW w:type="dxa" w:w="2484"/>
            <w:shd w:fill="0F2942"/>
          </w:tcPr>
          <w:p>
            <w:r>
              <w:rPr>
                <w:b/>
                <w:color w:val="FFFFFF"/>
              </w:rPr>
              <w:t>Key Deliverables</w:t>
            </w:r>
          </w:p>
        </w:tc>
        <w:tc>
          <w:tcPr>
            <w:tcW w:type="dxa" w:w="2484"/>
            <w:shd w:fill="0F2942"/>
          </w:tcPr>
          <w:p>
            <w:r>
              <w:rPr>
                <w:b/>
                <w:color w:val="FFFFFF"/>
              </w:rPr>
              <w:t>Core Technology</w:t>
            </w:r>
          </w:p>
        </w:tc>
        <w:tc>
          <w:tcPr>
            <w:tcW w:type="dxa" w:w="2484"/>
            <w:shd w:fill="0F2942"/>
          </w:tcPr>
          <w:p>
            <w:r>
              <w:rPr>
                <w:b/>
                <w:color w:val="FFFFFF"/>
              </w:rPr>
              <w:t>Strategic Impact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Phase 1: Interoperability Bridge</w:t>
              <w:br/>
              <w:t>(Weeks 1–3)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• 1-Click Layered AutoCAD (.dxf)</w:t>
              <w:br/>
              <w:t>• OpenBIM IFC4 3D Model Export</w:t>
              <w:br/>
              <w:t>• ETABS (.s2k) / STAAD (.std) Export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ezdxf, ifcopenshell, CSI / Bentley parsers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Eliminates CAD silo; allows architects &amp; structural engineers to adopt Aptimizer immediately.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Phase 2: Civil &amp; Municipal Rigor</w:t>
              <w:br/>
              <w:t>(Weeks 4–7)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• 3D Earthwork Cut-and-Fill Balancer</w:t>
              <w:br/>
              <w:t>• City DCR Engines (Mumbai, BLR, HYD)</w:t>
              <w:br/>
              <w:t>• PreDCR Automated Sanction Export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TIN / Grid Prismoidal, Local Master Plans, PreDCR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Saves millions in earthwork hauling; unlocks automated municipal sanction approvals.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Phase 3: Headless CAD Sheets</w:t>
              <w:br/>
              <w:t>(Weeks 8–12)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• Headless FreeCAD TechDraw Worker</w:t>
              <w:br/>
              <w:t>• Automated A1/A0 Sanction Drawing Sheets</w:t>
              <w:br/>
              <w:t>• 3D Spatial Redlining &amp; Approval Gates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Headless FreeCAD, Celery/Redis, Three.js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Replaces manual drafting of submission sheets; enables multi-disciplinary enterprise sign-offs.</w:t>
            </w:r>
          </w:p>
        </w:tc>
      </w:tr>
      <w:tr>
        <w:tc>
          <w:tcPr>
            <w:tcW w:type="dxa" w:w="2484"/>
            <w:shd w:fill="F8FAFC"/>
          </w:tcPr>
          <w:p>
            <w:r>
              <w:rPr>
                <w:sz w:val="17"/>
              </w:rPr>
              <w:t>Phase 4: Autonomous Civil OS (X)</w:t>
              <w:br/>
              <w:t>(Weeks 13–18)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• Multi-Agent Engineering Swarm</w:t>
              <w:br/>
              <w:t>• Live Commodity Price Tender Bundler</w:t>
              <w:br/>
              <w:t>• Drone Survey vs CPM As-Built Verification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Agent Swarms, Wholesale Indices, Photogrammetry</w:t>
            </w:r>
          </w:p>
        </w:tc>
        <w:tc>
          <w:tcPr>
            <w:tcW w:type="dxa" w:w="2484"/>
            <w:shd w:fill="F8FAFC"/>
          </w:tcPr>
          <w:p>
            <w:r>
              <w:rPr>
                <w:sz w:val="17"/>
              </w:rPr>
              <w:t>Delivers the complete Aptimizer X vision: autonomous engineering and real-time site monitoring.</w:t>
            </w:r>
          </w:p>
        </w:tc>
      </w:tr>
    </w:tbl>
    <w:p>
      <w:pPr>
        <w:pStyle w:val="Heading1"/>
      </w:pPr>
      <w:r>
        <w:rPr>
          <w:color w:val="0F2942"/>
        </w:rPr>
        <w:t>4. The Technology Architecture: FreeCAD vs. Pure Python</w:t>
      </w:r>
    </w:p>
    <w:p>
      <w:r>
        <w:t>Why FreeCAD cannot replace the interactive web application, but serves as an exceptional headless worker:</w:t>
        <w:br/>
        <w:br/>
        <w:t>1. Interactive Client (React 19 + Three.js): FreeCAD is a C++/Qt desktop app. It cannot deliver 60fps in-browser interactive editing. The web client must remain Three.js + Canvas2D.</w:t>
        <w:br/>
        <w:t>2. Fast 2D CAD (ezdxf): FreeCAD takes 2-3 seconds to boot; ezdxf exports clean layered AutoCAD files in &lt;40ms inside FastAPI.</w:t>
        <w:br/>
        <w:t>3. OpenBIM (ifcopenshell): ifcopenshell generates certified IFC4 files directly in Python without C++ dependencies.</w:t>
        <w:br/>
        <w:t>4. Headless FreeCAD Worker: Headless FreeCAD is reserved for asynchronous Celery workers to run TechDraw projection sheets (A1/A0 drawing cuts) and 3D B-Rep Boolean terrain earthworks.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