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FD0CB3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name of the batch (if not specified as a parameter to the constructor, will default to ‘batch.&lt;</w:t>
      </w:r>
      <w:proofErr w:type="spellStart"/>
      <w:r>
        <w:t>rootname</w:t>
      </w:r>
      <w:proofErr w:type="spellEnd"/>
      <w:r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batch of images in seconds.</w:t>
      </w:r>
    </w:p>
    <w:p w:rsidR="008779BF" w:rsidRDefault="0085685D" w:rsidP="0085685D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list (batch) of images.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images in the batch.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processed images are stored as a batch, with corresponding labels. In a HD5 file.</w:t>
      </w:r>
      <w:r w:rsidR="001264C7">
        <w:t xml:space="preserve"> If the batch parameter is specified, the batch file is stored as: &lt;</w:t>
      </w:r>
      <w:proofErr w:type="spellStart"/>
      <w:r w:rsidR="001264C7">
        <w:t>dir</w:t>
      </w:r>
      <w:proofErr w:type="spellEnd"/>
      <w:r w:rsidR="001264C7">
        <w:t>&gt;/&lt;batch&gt;.h5;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lastRenderedPageBreak/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batch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>) – Loads a HD5 batch file of image objects into an Images object.</w:t>
      </w:r>
    </w:p>
    <w:p w:rsidR="003063D8" w:rsidRDefault="003063D8" w:rsidP="003063D8">
      <w:pPr>
        <w:pStyle w:val="Heading1"/>
      </w:pPr>
      <w:r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4D2DE7" w:rsidP="003063D8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50478E" w:rsidRDefault="0050478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52ED" w:rsidRDefault="00DB52ED" w:rsidP="00DB52ED">
      <w:pPr>
        <w:pStyle w:val="Heading2"/>
      </w:pPr>
      <w:r>
        <w:lastRenderedPageBreak/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bookmarkStart w:id="0" w:name="_GoBack"/>
      <w:bookmarkEnd w:id="0"/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D6668F" w:rsidRPr="00D6668F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  <w:r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61BEE" w:rsidRDefault="001264C7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The Images load() method should load entire image object, not just the processed image data.</w:t>
      </w:r>
    </w:p>
    <w:p w:rsidR="006C77FF" w:rsidRDefault="006C77F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Image class should have property to get the size of the preprocessed image data.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AB48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9523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168</cp:revision>
  <dcterms:created xsi:type="dcterms:W3CDTF">2018-04-16T20:34:00Z</dcterms:created>
  <dcterms:modified xsi:type="dcterms:W3CDTF">2018-07-20T18:04:00Z</dcterms:modified>
</cp:coreProperties>
</file>