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highlight w:val="white"/>
                <w:rtl w:val="0"/>
              </w:rPr>
              <w:t xml:space="preserve">Exercise 2: Implementing Dependency Injection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Modify the XML Configuration: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 our case, we have previously modified applicationcontext.xml, which was already configured to use constructor based DI.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drawing>
          <wp:inline distB="114300" distT="114300" distL="114300" distR="114300">
            <wp:extent cx="5731200" cy="548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 Update the BookService Class: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We update the bookService class to instantiate wired repository object. Then use it to implement business logic.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drawing>
          <wp:inline distB="114300" distT="114300" distL="114300" distR="114300">
            <wp:extent cx="5731200" cy="548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Here the printBooks(...) method is already from the repository class.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drawing>
          <wp:inline distB="114300" distT="114300" distL="114300" distR="114300">
            <wp:extent cx="4992104" cy="25955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104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3. Test the Configuration: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Creating the Spring Container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ApplicationContext context = new ClassPathXmlApplicationContext("applicationContext.xml");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This line initializes the Spring IoC container by loading the XML configuration file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from the classpath. It reads the bean definitions and instantiates all the beans configured there. This is where dependency injection (DI) actually happens—Spring sees the constructor argument for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and injects an instance of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Retrieving a Bean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BookService bookService = (BookService) context.getBean("bookService");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This retrieves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bean that Spring created and injected earlier. Since the bean was configured using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constructor-arg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the injected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is already wired in when this object is returned.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Using the Injected Bean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bookService.displayBooks();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Here, you call a method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displayBooks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on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instance. Inside that method, it internally calls a method (like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printBooks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on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demonstrating that the injection worked as expected.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