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0"/>
          <w:szCs w:val="50"/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0"/>
        <w:tblGridChange w:id="0">
          <w:tblGrid>
            <w:gridCol w:w="49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shd w:fill="9fc5e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shd w:fill="9fc5e8" w:val="clear"/>
                <w:rtl w:val="0"/>
              </w:rPr>
              <w:t xml:space="preserve">4. ReactJS-HOL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50"/>
          <w:szCs w:val="50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Need and Benefits of Component Lifecycle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Component Lifecycle in React refers to the series of methods that are automatically called at different stages of a component's existence — from creation (mounting), to updates, and finally to removal (unmounting).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Why is it needed?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applications are dynamic and require managing side effects, such as data fetching, subscriptions, DOM updates,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Lifecycle methods allow us to hook into the internal phases of a component, enabling controlled and predictable behavior.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Lifecycle Hook Methods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Class Components provide several built-in lifecycle methods categorized by the phase: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Mounting Phase (When the component is inserted into the DOM):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Initializes state and binds methods.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getDerivedStateFromProps()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Updates state based on props before rendering.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render()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Returns the JSX to render the component.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componentDidMount()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Invoked after the component is mounted; ideal for API calls and side effects.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Phase (When props/state changes):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static getDerivedStateFromProps()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shouldComponentUpdate()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Determines whether the component should re-render.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getSnapshotBeforeUpdate()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Captures some information before the DOM updates.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componentDidUpdate()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Called after the component updates.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200" cy="434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Unmounting Phase (When the component is removed from DOM):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componentWillUnmount()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Cleanup tasks such as cancelling network requests, clearing timers, etc.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Error Handling Phase: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componentDidCatch(error, info)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Catches and handles errors during rendering or in lifecycle methods.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29327" cy="35342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327" cy="353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557838" cy="4429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