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after="60" w:before="0"/>
        <w:jc w:val="center"/>
      </w:pPr>
      <w:r>
        <w:rPr>
          <w:rFonts w:ascii="Arial" w:cs="Arial" w:eastAsia="Arial" w:hAnsi="Arial"/>
          <w:b/>
          <w:bCs/>
          <w:color w:val="1F3864"/>
          <w:sz w:val="30"/>
          <w:szCs w:val="30"/>
        </w:rPr>
        <w:t xml:space="preserve">FASTROUTE LOGISTICS PVT. LTD.</w:t>
      </w:r>
    </w:p>
    <w:p>
      <w:pPr>
        <w:spacing w:after="40" w:before="40"/>
        <w:jc w:val="center"/>
      </w:pPr>
      <w:r>
        <w:rPr>
          <w:rFonts w:ascii="Arial" w:cs="Arial" w:eastAsia="Arial" w:hAnsi="Arial"/>
          <w:color w:val="555555"/>
          <w:sz w:val="20"/>
          <w:szCs w:val="20"/>
        </w:rPr>
        <w:t xml:space="preserve">Database Systems Case Study  |  MBA – Operations &amp; Management</w:t>
      </w:r>
    </w:p>
    <w:p>
      <w:pPr>
        <w:spacing w:after="120" w:before="0"/>
        <w:jc w:val="center"/>
      </w:pPr>
      <w:r>
        <w:rPr>
          <w:rFonts w:ascii="Arial" w:cs="Arial" w:eastAsia="Arial" w:hAnsi="Arial"/>
          <w:b/>
          <w:bCs/>
          <w:color w:val="2E5C8A"/>
          <w:sz w:val="22"/>
          <w:szCs w:val="22"/>
        </w:rPr>
        <w:t xml:space="preserve">Real-Time Analytics Failure — Business Problem Identification &amp; Solution</w:t>
      </w:r>
    </w:p>
    <w:p>
      <w:pPr>
        <w:pStyle w:val="Heading1"/>
      </w:pPr>
      <w:r>
        <w:t xml:space="preserve">1. Company Overview</w:t>
      </w:r>
    </w:p>
    <w:p>
      <w:pPr>
        <w:spacing w:after="80" w:before="0"/>
      </w:pPr>
      <w:r>
        <w:rPr>
          <w:rFonts w:ascii="Arial" w:cs="Arial" w:eastAsia="Arial" w:hAnsi="Arial"/>
          <w:b/>
          <w:bCs/>
          <w:sz w:val="20"/>
          <w:szCs w:val="20"/>
        </w:rPr>
        <w:t xml:space="preserve">FastRoute Logistics Pvt. Ltd.</w:t>
      </w:r>
      <w:r>
        <w:rPr>
          <w:rFonts w:ascii="Arial" w:cs="Arial" w:eastAsia="Arial" w:hAnsi="Arial"/>
          <w:sz w:val="20"/>
          <w:szCs w:val="20"/>
        </w:rPr>
        <w:t xml:space="preserve"> is a third-party logistics (3PL) provider founded in 2012, headquartered in Ranchi, Jharkhand. It operates across 18 Indian states with a fleet of 1,200+ delivery vehicles processing ~28,000 shipments daily across FMCG, pharmaceutical, and e-commerce sectors, generating annual revenue of ₹480 Crore (FY 2024–25) with ~4,500 employees.</w:t>
      </w:r>
    </w:p>
    <w:p>
      <w:pPr>
        <w:pStyle w:val="Heading1"/>
      </w:pPr>
      <w:r>
        <w:t xml:space="preserve">2. Problem Statement</w:t>
      </w:r>
    </w:p>
    <w:p>
      <w:pPr>
        <w:spacing w:after="80" w:before="0"/>
      </w:pPr>
      <w:r>
        <w:rPr>
          <w:rFonts w:ascii="Arial" w:cs="Arial" w:eastAsia="Arial" w:hAnsi="Arial"/>
          <w:sz w:val="20"/>
          <w:szCs w:val="20"/>
        </w:rPr>
        <w:t xml:space="preserve">FastRoute's single MS SQL Server instance simultaneously handled all transactional, analytical, and web workloads — with no OLTP/OLAP separation, no streaming pipeline, and no replication. During peak hours (9 AM–12 PM and 4–7 PM), dashboards displayed data 2–6 hours old and froze entirely for an average of 4.2 hours, three times monthly, rendering real-time fleet management impossible.</w:t>
      </w:r>
    </w:p>
    <w:p>
      <w:pPr>
        <w:pStyle w:val="Heading2"/>
      </w:pPr>
      <w:r>
        <w:t xml:space="preserve">Business Impact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14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 Area</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51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bCs/>
                <w:color w:val="1F3864"/>
                <w:sz w:val="17"/>
                <w:szCs w:val="17"/>
              </w:rPr>
              <w:t xml:space="preserve">SLA Penalty Cost</w:t>
            </w:r>
          </w:p>
        </w:tc>
        <w:tc>
          <w:tcPr>
            <w:tcW w:type="dxa" w:w="15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C00000"/>
                <w:sz w:val="17"/>
                <w:szCs w:val="17"/>
              </w:rPr>
              <w:t xml:space="preserve">₹3.2 Cr/yr</w:t>
            </w:r>
          </w:p>
        </w:tc>
        <w:tc>
          <w:tcPr>
            <w:tcW w:type="dxa" w:w="514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12% SLA miss rate on pharmaceutical &amp; e-commerce deliveries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Fleet Idle 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C00000"/>
                <w:sz w:val="17"/>
                <w:szCs w:val="17"/>
              </w:rPr>
              <w:t xml:space="preserve">+23%</w:t>
            </w:r>
          </w:p>
        </w:tc>
        <w:tc>
          <w:tcPr>
            <w:tcW w:type="dxa" w:w="5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Trucks awaiting rerouting instructions due to stale GPS data</w:t>
            </w:r>
          </w:p>
        </w:tc>
      </w:tr>
      <w:tr>
        <w:tc>
          <w:tcPr>
            <w:tcW w:type="dxa" w:w="28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bCs/>
                <w:color w:val="1F3864"/>
                <w:sz w:val="17"/>
                <w:szCs w:val="17"/>
              </w:rPr>
              <w:t xml:space="preserve">Analytics Blackout</w:t>
            </w:r>
          </w:p>
        </w:tc>
        <w:tc>
          <w:tcPr>
            <w:tcW w:type="dxa" w:w="15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C00000"/>
                <w:sz w:val="17"/>
                <w:szCs w:val="17"/>
              </w:rPr>
              <w:t xml:space="preserve">4.2 hrs avg</w:t>
            </w:r>
          </w:p>
        </w:tc>
        <w:tc>
          <w:tcPr>
            <w:tcW w:type="dxa" w:w="514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Complete dashboard freeze per incident — 3 times per month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Client Churn Risk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C00000"/>
                <w:sz w:val="17"/>
                <w:szCs w:val="17"/>
              </w:rPr>
              <w:t xml:space="preserve">31%</w:t>
            </w:r>
          </w:p>
        </w:tc>
        <w:tc>
          <w:tcPr>
            <w:tcW w:type="dxa" w:w="5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3 of top-5 clients issued formal service improvement notices</w:t>
            </w:r>
          </w:p>
        </w:tc>
      </w:tr>
    </w:tbl>
    <w:p>
      <w:pPr>
        <w:spacing w:after="80" w:before="60"/>
      </w:pPr>
    </w:p>
    <w:p>
      <w:pPr>
        <w:pStyle w:val="Heading1"/>
      </w:pPr>
      <w:r>
        <w:t xml:space="preserve">3. Entities &amp; Relationships (ER Model)</w:t>
      </w:r>
    </w:p>
    <w:p>
      <w:pPr>
        <w:spacing w:after="80" w:before="0"/>
      </w:pPr>
      <w:r>
        <w:rPr>
          <w:rFonts w:ascii="Arial" w:cs="Arial" w:eastAsia="Arial" w:hAnsi="Arial"/>
          <w:sz w:val="20"/>
          <w:szCs w:val="20"/>
        </w:rPr>
        <w:t xml:space="preserve">The relational schema comprises five core entities normalised to 3NF. The </w:t>
      </w:r>
      <w:r>
        <w:rPr>
          <w:rFonts w:ascii="Arial" w:cs="Arial" w:eastAsia="Arial" w:hAnsi="Arial"/>
          <w:b/>
          <w:bCs/>
          <w:sz w:val="20"/>
          <w:szCs w:val="20"/>
        </w:rPr>
        <w:t xml:space="preserve">CLIENT</w:t>
      </w:r>
      <w:r>
        <w:rPr>
          <w:rFonts w:ascii="Arial" w:cs="Arial" w:eastAsia="Arial" w:hAnsi="Arial"/>
          <w:sz w:val="20"/>
          <w:szCs w:val="20"/>
        </w:rPr>
        <w:t xml:space="preserve"> entity (ClientID PK, Name, Contact, SLA_Type) holds all client account and SLA contract information. A client places one or many </w:t>
      </w:r>
      <w:r>
        <w:rPr>
          <w:rFonts w:ascii="Arial" w:cs="Arial" w:eastAsia="Arial" w:hAnsi="Arial"/>
          <w:b/>
          <w:bCs/>
          <w:sz w:val="20"/>
          <w:szCs w:val="20"/>
        </w:rPr>
        <w:t xml:space="preserve">SHIPMENT</w:t>
      </w:r>
      <w:r>
        <w:rPr>
          <w:rFonts w:ascii="Arial" w:cs="Arial" w:eastAsia="Arial" w:hAnsi="Arial"/>
          <w:sz w:val="20"/>
          <w:szCs w:val="20"/>
        </w:rPr>
        <w:t xml:space="preserve"> records (ShipmentID PK, ClientID FK, VehicleID FK, Status, Created_At), which acts as the central fact table linking clients to vehicles. Each shipment is assigned to exactly one </w:t>
      </w:r>
      <w:r>
        <w:rPr>
          <w:rFonts w:ascii="Arial" w:cs="Arial" w:eastAsia="Arial" w:hAnsi="Arial"/>
          <w:b/>
          <w:bCs/>
          <w:sz w:val="20"/>
          <w:szCs w:val="20"/>
        </w:rPr>
        <w:t xml:space="preserve">VEHICLE</w:t>
      </w:r>
      <w:r>
        <w:rPr>
          <w:rFonts w:ascii="Arial" w:cs="Arial" w:eastAsia="Arial" w:hAnsi="Arial"/>
          <w:sz w:val="20"/>
          <w:szCs w:val="20"/>
        </w:rPr>
        <w:t xml:space="preserve"> (VehicleID PK, DriverID FK, PlateNo, Capacity), which is operated by one </w:t>
      </w:r>
      <w:r>
        <w:rPr>
          <w:rFonts w:ascii="Arial" w:cs="Arial" w:eastAsia="Arial" w:hAnsi="Arial"/>
          <w:b/>
          <w:bCs/>
          <w:sz w:val="20"/>
          <w:szCs w:val="20"/>
        </w:rPr>
        <w:t xml:space="preserve">DRIVER</w:t>
      </w:r>
      <w:r>
        <w:rPr>
          <w:rFonts w:ascii="Arial" w:cs="Arial" w:eastAsia="Arial" w:hAnsi="Arial"/>
          <w:sz w:val="20"/>
          <w:szCs w:val="20"/>
        </w:rPr>
        <w:t xml:space="preserve"> (DriverID PK, Name, LicenseNo, Zone). A separate </w:t>
      </w:r>
      <w:r>
        <w:rPr>
          <w:rFonts w:ascii="Arial" w:cs="Arial" w:eastAsia="Arial" w:hAnsi="Arial"/>
          <w:b/>
          <w:bCs/>
          <w:sz w:val="20"/>
          <w:szCs w:val="20"/>
        </w:rPr>
        <w:t xml:space="preserve">ROUTE</w:t>
      </w:r>
      <w:r>
        <w:rPr>
          <w:rFonts w:ascii="Arial" w:cs="Arial" w:eastAsia="Arial" w:hAnsi="Arial"/>
          <w:sz w:val="20"/>
          <w:szCs w:val="20"/>
        </w:rPr>
        <w:t xml:space="preserve"> entity (RouteID PK, ShipmentID FK, Origin, Destination, Distance) stores journey path data, linked one-to-one with a shipment. A sixth non-relational collection — </w:t>
      </w:r>
      <w:r>
        <w:rPr>
          <w:rFonts w:ascii="Arial" w:cs="Arial" w:eastAsia="Arial" w:hAnsi="Arial"/>
          <w:b/>
          <w:bCs/>
          <w:sz w:val="20"/>
          <w:szCs w:val="20"/>
        </w:rPr>
        <w:t xml:space="preserve">GPS_EVENT</w:t>
      </w:r>
      <w:r>
        <w:rPr>
          <w:rFonts w:ascii="Arial" w:cs="Arial" w:eastAsia="Arial" w:hAnsi="Arial"/>
          <w:sz w:val="20"/>
          <w:szCs w:val="20"/>
        </w:rPr>
        <w:t xml:space="preserve"> — lives in MongoDB and stores real-time IoT telemetry (coordinates, speed, fuel, alerts) keyed by VehicleID, operating outside the relational schema to handle high-velocity, schema-flexible data at scale.</w:t>
      </w:r>
    </w:p>
    <w:p>
      <w:pPr>
        <w:pStyle w:val="Heading1"/>
      </w:pPr>
      <w:r>
        <w:t xml:space="preserve">4. Root Cause Analysis</w:t>
      </w:r>
    </w:p>
    <w:p>
      <w:pPr>
        <w:pStyle w:val="ListParagraph"/>
        <w:numPr>
          <w:ilvl w:val="0"/>
          <w:numId w:val="2"/>
        </w:numPr>
        <w:spacing w:after="40" w:before="40"/>
      </w:pPr>
      <w:r>
        <w:rPr>
          <w:rFonts w:ascii="Arial" w:cs="Arial" w:eastAsia="Arial" w:hAnsi="Arial"/>
          <w:b/>
          <w:bCs/>
          <w:sz w:val="19"/>
          <w:szCs w:val="19"/>
        </w:rPr>
        <w:t xml:space="preserve">RC-1 No OLTP/OLAP Separation: </w:t>
      </w:r>
      <w:r>
        <w:rPr>
          <w:rFonts w:ascii="Arial" w:cs="Arial" w:eastAsia="Arial" w:hAnsi="Arial"/>
          <w:sz w:val="19"/>
          <w:szCs w:val="19"/>
        </w:rPr>
        <w:t xml:space="preserve">A single MS SQL Server instance handled live transactions and heavy analytics queries simultaneously, causing read-write lock conflicts and dashboard freezes during peak hours.</w:t>
      </w:r>
    </w:p>
    <w:p>
      <w:pPr>
        <w:pStyle w:val="ListParagraph"/>
        <w:numPr>
          <w:ilvl w:val="0"/>
          <w:numId w:val="2"/>
        </w:numPr>
        <w:spacing w:after="40" w:before="40"/>
      </w:pPr>
      <w:r>
        <w:rPr>
          <w:rFonts w:ascii="Arial" w:cs="Arial" w:eastAsia="Arial" w:hAnsi="Arial"/>
          <w:b/>
          <w:bCs/>
          <w:sz w:val="19"/>
          <w:szCs w:val="19"/>
        </w:rPr>
        <w:t xml:space="preserve">RC-2 Batch GPS Ingestion: </w:t>
      </w:r>
      <w:r>
        <w:rPr>
          <w:rFonts w:ascii="Arial" w:cs="Arial" w:eastAsia="Arial" w:hAnsi="Arial"/>
          <w:sz w:val="19"/>
          <w:szCs w:val="19"/>
        </w:rPr>
        <w:t xml:space="preserve">Vehicle location was loaded via CSV flat files every 2 hours through scheduled ETL jobs — no streaming pipeline existed, creating a permanent 2-hour data lag.</w:t>
      </w:r>
    </w:p>
    <w:p>
      <w:pPr>
        <w:pStyle w:val="ListParagraph"/>
        <w:numPr>
          <w:ilvl w:val="0"/>
          <w:numId w:val="2"/>
        </w:numPr>
        <w:spacing w:after="40" w:before="40"/>
      </w:pPr>
      <w:r>
        <w:rPr>
          <w:rFonts w:ascii="Arial" w:cs="Arial" w:eastAsia="Arial" w:hAnsi="Arial"/>
          <w:b/>
          <w:bCs/>
          <w:sz w:val="19"/>
          <w:szCs w:val="19"/>
        </w:rPr>
        <w:t xml:space="preserve">RC-3 Wrong Database Type for IoT Data: </w:t>
      </w:r>
      <w:r>
        <w:rPr>
          <w:rFonts w:ascii="Arial" w:cs="Arial" w:eastAsia="Arial" w:hAnsi="Arial"/>
          <w:sz w:val="19"/>
          <w:szCs w:val="19"/>
        </w:rPr>
        <w:t xml:space="preserve">High-velocity GPS telemetry was forced into a rigid relational schema, causing table bloat, slow inserts, and query timeouts as the GPS table grew to hundreds of millions of rows.</w:t>
      </w:r>
    </w:p>
    <w:p>
      <w:pPr>
        <w:pStyle w:val="ListParagraph"/>
        <w:numPr>
          <w:ilvl w:val="0"/>
          <w:numId w:val="2"/>
        </w:numPr>
        <w:spacing w:after="40" w:before="40"/>
      </w:pPr>
      <w:r>
        <w:rPr>
          <w:rFonts w:ascii="Arial" w:cs="Arial" w:eastAsia="Arial" w:hAnsi="Arial"/>
          <w:b/>
          <w:bCs/>
          <w:sz w:val="19"/>
          <w:szCs w:val="19"/>
        </w:rPr>
        <w:t xml:space="preserve">RC-4 No Read Replica / Single Point of Failure: </w:t>
      </w:r>
      <w:r>
        <w:rPr>
          <w:rFonts w:ascii="Arial" w:cs="Arial" w:eastAsia="Arial" w:hAnsi="Arial"/>
          <w:sz w:val="19"/>
          <w:szCs w:val="19"/>
        </w:rPr>
        <w:t xml:space="preserve">Zero replication meant any DB overload caused a total analytics blackout with an average recovery time of 4.2 hours.</w:t>
      </w:r>
    </w:p>
    <w:p>
      <w:pPr>
        <w:spacing w:after="0" w:before="60"/>
      </w:pPr>
    </w:p>
    <w:p>
      <w:pPr>
        <w:pStyle w:val="Heading1"/>
      </w:pPr>
      <w:r>
        <w:t xml:space="preserve">5. Proposed Solution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4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Root Cause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Database Concept Applied</w:t>
            </w:r>
          </w:p>
        </w:tc>
        <w:tc>
          <w:tcPr>
            <w:tcW w:type="dxa" w:w="4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Fix</w:t>
            </w:r>
          </w:p>
        </w:tc>
      </w:tr>
      <w:tr>
        <w:tc>
          <w:tcPr>
            <w:tcW w:type="dxa" w:w="18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bCs/>
                <w:color w:val="1F3864"/>
                <w:sz w:val="17"/>
                <w:szCs w:val="17"/>
              </w:rPr>
              <w:t xml:space="preserve">RC-1</w:t>
            </w:r>
          </w:p>
        </w:tc>
        <w:tc>
          <w:tcPr>
            <w:tcW w:type="dxa" w:w="30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Relational DB Design (OLTP/OLAP)</w:t>
            </w:r>
          </w:p>
        </w:tc>
        <w:tc>
          <w:tcPr>
            <w:tcW w:type="dxa" w:w="464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Deploy PostgreSQL read-replica; isolate analytics queries from live transactions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RC-2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NoSQL / Streaming Pipeline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Replace batch ETL with real-time event streaming to MongoDB (GPS every 30 secs)</w:t>
            </w:r>
          </w:p>
        </w:tc>
      </w:tr>
      <w:tr>
        <w:tc>
          <w:tcPr>
            <w:tcW w:type="dxa" w:w="18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bCs/>
                <w:color w:val="1F3864"/>
                <w:sz w:val="17"/>
                <w:szCs w:val="17"/>
              </w:rPr>
              <w:t xml:space="preserve">RC-3</w:t>
            </w:r>
          </w:p>
        </w:tc>
        <w:tc>
          <w:tcPr>
            <w:tcW w:type="dxa" w:w="300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NoSQL — MongoDB</w:t>
            </w:r>
          </w:p>
        </w:tc>
        <w:tc>
          <w:tcPr>
            <w:tcW w:type="dxa" w:w="464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Store GPS/IoT events as JSON documents in MongoDB; geospatial queries for zone tracking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RC-4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Power BI + DB Linking</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1F3864"/>
                <w:sz w:val="17"/>
                <w:szCs w:val="17"/>
              </w:rPr>
              <w:t xml:space="preserve">Connect Power BI via DirectQuery to replica only; REST API bridges SQL + MongoDB for web portal</w:t>
            </w:r>
          </w:p>
        </w:tc>
      </w:tr>
    </w:tbl>
    <w:p>
      <w:pPr>
        <w:spacing w:after="0" w:before="60"/>
      </w:pPr>
    </w:p>
    <w:p>
      <w:pPr>
        <w:pStyle w:val="Heading1"/>
      </w:pPr>
      <w:r>
        <w:t xml:space="preserve">6. Expected Outcomes</w:t>
      </w:r>
    </w:p>
    <w:p>
      <w:pPr>
        <w:spacing w:after="80" w:before="0"/>
      </w:pPr>
      <w:r>
        <w:rPr>
          <w:rFonts w:ascii="Arial" w:cs="Arial" w:eastAsia="Arial" w:hAnsi="Arial"/>
          <w:sz w:val="20"/>
          <w:szCs w:val="20"/>
        </w:rPr>
        <w:t xml:space="preserve">Implementation over 8 weeks at an estimated investment of ₹1.8–2.4 Crore is projected to eliminate SLA penalties (saving ₹3.2 Cr/yr), reduce fleet idle time by 20%+, deliver sub-1-minute dashboard refresh rates, and achieve a payback period of 14–18 months with a 5-year net saving of approximately ₹12 Crore.</w:t>
      </w:r>
    </w:p>
    <w:p>
      <w:pPr>
        <w:pBdr>
          <w:top w:val="single" w:color="1F3864" w:sz="4" w:space="4"/>
        </w:pBdr>
        <w:spacing w:after="0" w:before="80"/>
        <w:jc w:val="center"/>
      </w:pPr>
      <w:r>
        <w:rPr>
          <w:rFonts w:ascii="Arial" w:cs="Arial" w:eastAsia="Arial" w:hAnsi="Arial"/>
          <w:color w:val="777777"/>
          <w:sz w:val="16"/>
          <w:szCs w:val="16"/>
        </w:rPr>
        <w:t xml:space="preserve">Prepared by: Anuj, Bharat, Bhavesh  |  MBA – Operations &amp; Management  |  Database Systems Course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80"/>
      <w:outlineLvl w:val="1"/>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2026-04-20T17:26:55.844Z</dcterms:created>
  <dcterms:modified xsi:type="dcterms:W3CDTF">2026-04-20T17:26:55.845Z</dcterms:modified>
</cp:coreProperties>
</file>

<file path=docProps/custom.xml><?xml version="1.0" encoding="utf-8"?>
<Properties xmlns="http://schemas.openxmlformats.org/officeDocument/2006/custom-properties" xmlns:vt="http://schemas.openxmlformats.org/officeDocument/2006/docPropsVTypes"/>
</file>