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B87950" w:rsidRPr="00A74C2D" w14:paraId="545363E3" w14:textId="77777777" w:rsidTr="00EB263B">
        <w:trPr>
          <w:trHeight w:val="330"/>
        </w:trPr>
        <w:tc>
          <w:tcPr>
            <w:tcW w:w="2889" w:type="dxa"/>
            <w:shd w:val="clear" w:color="auto" w:fill="C4BA94"/>
          </w:tcPr>
          <w:p w14:paraId="35858F61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5FDA49F0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2060"/>
              </w:rPr>
            </w:pPr>
            <w:r>
              <w:rPr>
                <w:color w:val="000000"/>
              </w:rPr>
              <w:t>UC 20.1/20.2/20.3</w:t>
            </w:r>
          </w:p>
        </w:tc>
      </w:tr>
      <w:tr w:rsidR="00B87950" w:rsidRPr="00A74C2D" w14:paraId="34EE5740" w14:textId="77777777" w:rsidTr="00EB263B">
        <w:trPr>
          <w:trHeight w:val="330"/>
        </w:trPr>
        <w:tc>
          <w:tcPr>
            <w:tcW w:w="2889" w:type="dxa"/>
          </w:tcPr>
          <w:p w14:paraId="1E2BE44B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14E1C925" w14:textId="77777777" w:rsidR="00B87950" w:rsidRPr="000E0E88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2060"/>
              </w:rPr>
            </w:pPr>
            <w:r>
              <w:rPr>
                <w:color w:val="0D0D0D" w:themeColor="text1" w:themeTint="F2"/>
              </w:rPr>
              <w:t>Customer response for LOD and Final Reminder.</w:t>
            </w:r>
          </w:p>
        </w:tc>
      </w:tr>
      <w:tr w:rsidR="00B87950" w:rsidRPr="00A74C2D" w14:paraId="557DFB81" w14:textId="77777777" w:rsidTr="00EB263B">
        <w:trPr>
          <w:trHeight w:val="316"/>
        </w:trPr>
        <w:tc>
          <w:tcPr>
            <w:tcW w:w="2889" w:type="dxa"/>
          </w:tcPr>
          <w:p w14:paraId="3695FEAE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3358172E" w14:textId="5A5C8464" w:rsidR="00B87950" w:rsidRPr="000E0E88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</w:pPr>
            <w:r>
              <w:rPr>
                <w:color w:val="0D0D0D" w:themeColor="text1" w:themeTint="F2"/>
              </w:rPr>
              <w:t xml:space="preserve">SLT </w:t>
            </w:r>
            <w:r w:rsidR="009C168A">
              <w:rPr>
                <w:color w:val="0D0D0D" w:themeColor="text1" w:themeTint="F2"/>
              </w:rPr>
              <w:t>staff</w:t>
            </w:r>
            <w:r>
              <w:rPr>
                <w:color w:val="0D0D0D" w:themeColor="text1" w:themeTint="F2"/>
              </w:rPr>
              <w:t xml:space="preserve">, </w:t>
            </w:r>
            <w:r w:rsidRPr="000E0E88">
              <w:rPr>
                <w:color w:val="0D0D0D" w:themeColor="text1" w:themeTint="F2"/>
              </w:rPr>
              <w:t>DRS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B87950" w:rsidRPr="00A74C2D" w14:paraId="0647420C" w14:textId="77777777" w:rsidTr="00EB263B">
        <w:trPr>
          <w:trHeight w:val="642"/>
        </w:trPr>
        <w:tc>
          <w:tcPr>
            <w:tcW w:w="2889" w:type="dxa"/>
          </w:tcPr>
          <w:p w14:paraId="5D265BC1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239AD76D" w14:textId="3B229C7A" w:rsidR="00B87950" w:rsidRPr="000E0E88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The process </w:t>
            </w:r>
            <w:r w:rsidR="006D3B90">
              <w:rPr>
                <w:color w:val="0D0D0D" w:themeColor="text1" w:themeTint="F2"/>
              </w:rPr>
              <w:t>decides whether to send a dispute or a settlement letter</w:t>
            </w:r>
            <w:r w:rsidR="009C168A">
              <w:rPr>
                <w:color w:val="0D0D0D" w:themeColor="text1" w:themeTint="F2"/>
              </w:rPr>
              <w:t xml:space="preserve"> according to the customer’s response for the sent Final Reminder/LOD.</w:t>
            </w:r>
          </w:p>
        </w:tc>
      </w:tr>
      <w:tr w:rsidR="00B87950" w:rsidRPr="00A74C2D" w14:paraId="0F1FCAAF" w14:textId="77777777" w:rsidTr="009C168A">
        <w:trPr>
          <w:trHeight w:val="377"/>
        </w:trPr>
        <w:tc>
          <w:tcPr>
            <w:tcW w:w="2889" w:type="dxa"/>
          </w:tcPr>
          <w:p w14:paraId="76BD8AD7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50A61927" w14:textId="273FE3F7" w:rsidR="00B87950" w:rsidRPr="003F423B" w:rsidRDefault="009C168A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Received customer response</w:t>
            </w:r>
          </w:p>
        </w:tc>
      </w:tr>
      <w:tr w:rsidR="00B87950" w:rsidRPr="00A74C2D" w14:paraId="02A1DF03" w14:textId="77777777" w:rsidTr="00EB263B">
        <w:trPr>
          <w:trHeight w:val="297"/>
        </w:trPr>
        <w:tc>
          <w:tcPr>
            <w:tcW w:w="2889" w:type="dxa"/>
          </w:tcPr>
          <w:p w14:paraId="51AF4310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35870893" w14:textId="1341B229" w:rsidR="00B87950" w:rsidRPr="009C168A" w:rsidRDefault="00B87950" w:rsidP="00EB263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 w:rsidRPr="000D3159">
              <w:rPr>
                <w:color w:val="0D0D0D" w:themeColor="text1" w:themeTint="F2"/>
              </w:rPr>
              <w:t>If customer agrees to settle, send a settlement letter.</w:t>
            </w:r>
          </w:p>
          <w:p w14:paraId="1860CE6A" w14:textId="2C6F7D1F" w:rsidR="00B87950" w:rsidRPr="000D3159" w:rsidRDefault="00B87950" w:rsidP="00EB263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D0D0D" w:themeColor="text1" w:themeTint="F2"/>
              </w:rPr>
            </w:pPr>
            <w:r w:rsidRPr="000D3159">
              <w:rPr>
                <w:color w:val="0D0D0D" w:themeColor="text1" w:themeTint="F2"/>
              </w:rPr>
              <w:t xml:space="preserve">If </w:t>
            </w:r>
            <w:r w:rsidR="006D3B90">
              <w:rPr>
                <w:color w:val="0D0D0D" w:themeColor="text1" w:themeTint="F2"/>
              </w:rPr>
              <w:t>customer disagrees</w:t>
            </w:r>
            <w:r w:rsidRPr="000D3159">
              <w:rPr>
                <w:color w:val="0D0D0D" w:themeColor="text1" w:themeTint="F2"/>
              </w:rPr>
              <w:t xml:space="preserve"> </w:t>
            </w:r>
            <w:r w:rsidR="006D3B90">
              <w:rPr>
                <w:color w:val="0D0D0D" w:themeColor="text1" w:themeTint="F2"/>
              </w:rPr>
              <w:t xml:space="preserve">send </w:t>
            </w:r>
            <w:r w:rsidRPr="000D3159">
              <w:rPr>
                <w:color w:val="0D0D0D" w:themeColor="text1" w:themeTint="F2"/>
              </w:rPr>
              <w:t>a dispute letter.</w:t>
            </w:r>
          </w:p>
          <w:p w14:paraId="54DB7845" w14:textId="77777777" w:rsidR="00B87950" w:rsidRPr="000D3159" w:rsidRDefault="00B87950" w:rsidP="00EB263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0"/>
              <w:rPr>
                <w:color w:val="0D0D0D" w:themeColor="text1" w:themeTint="F2"/>
              </w:rPr>
            </w:pPr>
          </w:p>
        </w:tc>
      </w:tr>
      <w:tr w:rsidR="00B87950" w:rsidRPr="00A74C2D" w14:paraId="0C73EAF4" w14:textId="77777777" w:rsidTr="00EB263B">
        <w:trPr>
          <w:trHeight w:val="297"/>
        </w:trPr>
        <w:tc>
          <w:tcPr>
            <w:tcW w:w="2889" w:type="dxa"/>
          </w:tcPr>
          <w:p w14:paraId="16F537CE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586A98C7" w14:textId="2E9838DE" w:rsidR="00B87950" w:rsidRPr="00096A7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Front end </w:t>
            </w:r>
          </w:p>
        </w:tc>
      </w:tr>
      <w:tr w:rsidR="00B87950" w:rsidRPr="00A74C2D" w14:paraId="6AD1C2B7" w14:textId="77777777" w:rsidTr="00EB263B">
        <w:trPr>
          <w:trHeight w:val="297"/>
        </w:trPr>
        <w:tc>
          <w:tcPr>
            <w:tcW w:w="2889" w:type="dxa"/>
          </w:tcPr>
          <w:p w14:paraId="56095241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3EA5699F" w14:textId="77777777" w:rsidR="00B87950" w:rsidRPr="009C168A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i/>
                <w:iCs/>
                <w:color w:val="002060"/>
              </w:rPr>
            </w:pPr>
            <w:r w:rsidRPr="009C168A">
              <w:rPr>
                <w:i/>
                <w:iCs/>
              </w:rPr>
              <w:t>LOD monitoring Expire</w:t>
            </w:r>
          </w:p>
        </w:tc>
      </w:tr>
      <w:tr w:rsidR="00B87950" w:rsidRPr="00A74C2D" w14:paraId="428DEC8F" w14:textId="77777777" w:rsidTr="00EB263B">
        <w:trPr>
          <w:trHeight w:val="297"/>
        </w:trPr>
        <w:tc>
          <w:tcPr>
            <w:tcW w:w="2889" w:type="dxa"/>
          </w:tcPr>
          <w:p w14:paraId="0C27CB0A" w14:textId="77777777" w:rsidR="00B87950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</w:p>
          <w:p w14:paraId="6DA4E91D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6A8FFD5C" w14:textId="34D78DF9" w:rsidR="00B87950" w:rsidRPr="009C168A" w:rsidRDefault="009C168A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iCs/>
                <w:color w:val="0D0D0D" w:themeColor="text1" w:themeTint="F2"/>
              </w:rPr>
            </w:pPr>
            <w:r w:rsidRPr="009C168A">
              <w:rPr>
                <w:iCs/>
                <w:color w:val="0D0D0D" w:themeColor="text1" w:themeTint="F2"/>
              </w:rPr>
              <w:t>Customer response = Agree to settle</w:t>
            </w:r>
          </w:p>
          <w:p w14:paraId="30F7AE21" w14:textId="0802588E" w:rsidR="00B87950" w:rsidRDefault="009C168A" w:rsidP="009C168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 w:rsidRPr="009C168A">
              <w:rPr>
                <w:i/>
                <w:color w:val="0D0D0D" w:themeColor="text1" w:themeTint="F2"/>
              </w:rPr>
              <w:t>P</w:t>
            </w:r>
            <w:r w:rsidR="00B87950" w:rsidRPr="009C168A">
              <w:rPr>
                <w:i/>
                <w:color w:val="0D0D0D" w:themeColor="text1" w:themeTint="F2"/>
              </w:rPr>
              <w:t>ending settlement letter</w:t>
            </w:r>
            <w:r w:rsidR="00B87950" w:rsidRPr="009C168A">
              <w:rPr>
                <w:color w:val="0D0D0D" w:themeColor="text1" w:themeTint="F2"/>
              </w:rPr>
              <w:t xml:space="preserve"> </w:t>
            </w:r>
          </w:p>
          <w:p w14:paraId="5D0BFE00" w14:textId="4A8A60A7" w:rsidR="009C168A" w:rsidRPr="009C168A" w:rsidRDefault="009C168A" w:rsidP="009C1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Customer response = Disagree to settle</w:t>
            </w:r>
          </w:p>
          <w:p w14:paraId="28DFFD8F" w14:textId="34CEBAF1" w:rsidR="00B87950" w:rsidRPr="009C168A" w:rsidRDefault="009C168A" w:rsidP="009C168A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i/>
                <w:color w:val="0D0D0D" w:themeColor="text1" w:themeTint="F2"/>
              </w:rPr>
            </w:pPr>
            <w:r w:rsidRPr="009C168A">
              <w:rPr>
                <w:i/>
                <w:color w:val="0D0D0D" w:themeColor="text1" w:themeTint="F2"/>
              </w:rPr>
              <w:t>P</w:t>
            </w:r>
            <w:r w:rsidR="00B87950" w:rsidRPr="009C168A">
              <w:rPr>
                <w:i/>
                <w:color w:val="0D0D0D" w:themeColor="text1" w:themeTint="F2"/>
              </w:rPr>
              <w:t>ending dispute letter</w:t>
            </w:r>
            <w:r w:rsidR="00B87950" w:rsidRPr="009C168A">
              <w:rPr>
                <w:color w:val="0D0D0D" w:themeColor="text1" w:themeTint="F2"/>
              </w:rPr>
              <w:t xml:space="preserve"> </w:t>
            </w:r>
            <w:r w:rsidR="00477645" w:rsidRPr="009C168A">
              <w:rPr>
                <w:color w:val="0D0D0D" w:themeColor="text1" w:themeTint="F2"/>
              </w:rPr>
              <w:t>and</w:t>
            </w:r>
            <w:r w:rsidR="00B87950" w:rsidRPr="009C168A">
              <w:rPr>
                <w:color w:val="0D0D0D" w:themeColor="text1" w:themeTint="F2"/>
              </w:rPr>
              <w:t xml:space="preserve"> </w:t>
            </w:r>
            <w:r w:rsidR="00B87950" w:rsidRPr="009C168A">
              <w:rPr>
                <w:i/>
                <w:color w:val="0D0D0D" w:themeColor="text1" w:themeTint="F2"/>
              </w:rPr>
              <w:t>issued dispute letter</w:t>
            </w:r>
          </w:p>
          <w:p w14:paraId="340F1B0F" w14:textId="77777777" w:rsidR="00B87950" w:rsidRPr="009C168A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i/>
                <w:color w:val="002060"/>
              </w:rPr>
            </w:pPr>
          </w:p>
        </w:tc>
      </w:tr>
      <w:tr w:rsidR="00B87950" w:rsidRPr="00A74C2D" w14:paraId="2968709B" w14:textId="77777777" w:rsidTr="00EB263B">
        <w:trPr>
          <w:trHeight w:val="297"/>
        </w:trPr>
        <w:tc>
          <w:tcPr>
            <w:tcW w:w="2889" w:type="dxa"/>
          </w:tcPr>
          <w:p w14:paraId="59B9092F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0A977C3C" w14:textId="6EAB60C2" w:rsidR="00B87950" w:rsidRPr="00477645" w:rsidRDefault="00477645" w:rsidP="0047764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2060"/>
              </w:rPr>
            </w:pPr>
            <w:r>
              <w:t>P</w:t>
            </w:r>
            <w:r w:rsidRPr="00477645">
              <w:t>ending settlement letter</w:t>
            </w:r>
            <w:r w:rsidR="009C168A">
              <w:t xml:space="preserve"> </w:t>
            </w:r>
            <w:r w:rsidR="000C432C">
              <w:rPr>
                <w:color w:val="0D0D0D" w:themeColor="text1" w:themeTint="F2"/>
              </w:rPr>
              <w:t>–</w:t>
            </w:r>
            <w:r>
              <w:rPr>
                <w:color w:val="0D0D0D" w:themeColor="text1" w:themeTint="F2"/>
              </w:rPr>
              <w:t xml:space="preserve"> </w:t>
            </w:r>
            <w:r w:rsidR="000C432C">
              <w:rPr>
                <w:color w:val="0D0D0D" w:themeColor="text1" w:themeTint="F2"/>
              </w:rPr>
              <w:t>The </w:t>
            </w:r>
            <w:r>
              <w:rPr>
                <w:color w:val="0D0D0D" w:themeColor="text1" w:themeTint="F2"/>
              </w:rPr>
              <w:t>customer agreed and provide the settlement letter.</w:t>
            </w:r>
          </w:p>
          <w:p w14:paraId="5B2CE1D6" w14:textId="4A16EF31" w:rsidR="00477645" w:rsidRPr="00477645" w:rsidRDefault="00477645" w:rsidP="0047764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  <w:r>
              <w:t>P</w:t>
            </w:r>
            <w:r w:rsidRPr="00477645">
              <w:t xml:space="preserve">ending dispute letter </w:t>
            </w:r>
            <w:r w:rsidR="000C432C">
              <w:t>–</w:t>
            </w:r>
            <w:r w:rsidR="0038717C">
              <w:t xml:space="preserve"> </w:t>
            </w:r>
            <w:r w:rsidR="000C432C">
              <w:t>The </w:t>
            </w:r>
            <w:r w:rsidRPr="00477645">
              <w:t>customer disagreed and provide the dispute letter.</w:t>
            </w:r>
          </w:p>
          <w:p w14:paraId="2AA224BF" w14:textId="4B3DD54F" w:rsidR="00477645" w:rsidRPr="00477645" w:rsidRDefault="00477645" w:rsidP="0047764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2060"/>
              </w:rPr>
            </w:pPr>
            <w:r>
              <w:t>I</w:t>
            </w:r>
            <w:r w:rsidRPr="00477645">
              <w:t>ssued dispute letter-</w:t>
            </w:r>
            <w:r w:rsidR="0038717C">
              <w:t xml:space="preserve"> </w:t>
            </w:r>
            <w:r w:rsidR="000C432C">
              <w:t xml:space="preserve">The </w:t>
            </w:r>
            <w:r w:rsidRPr="00477645">
              <w:t>customer disagreed and monitor the response</w:t>
            </w:r>
          </w:p>
        </w:tc>
      </w:tr>
      <w:tr w:rsidR="00B87950" w:rsidRPr="00A74C2D" w14:paraId="4FC0923E" w14:textId="77777777" w:rsidTr="00EB263B">
        <w:trPr>
          <w:trHeight w:val="297"/>
        </w:trPr>
        <w:tc>
          <w:tcPr>
            <w:tcW w:w="2889" w:type="dxa"/>
          </w:tcPr>
          <w:p w14:paraId="26B4AD26" w14:textId="77777777" w:rsidR="00B87950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224D08F6" w14:textId="1014D720" w:rsidR="009C168A" w:rsidRDefault="009C168A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  <w:r>
              <w:t>C</w:t>
            </w:r>
            <w:r w:rsidR="00B87950" w:rsidRPr="0032544F">
              <w:t xml:space="preserve">ustomer </w:t>
            </w:r>
            <w:r w:rsidRPr="0032544F">
              <w:t>agrees</w:t>
            </w:r>
          </w:p>
          <w:p w14:paraId="7C633F2D" w14:textId="0D4D6BEA" w:rsidR="00B87950" w:rsidRPr="0032544F" w:rsidRDefault="009C168A" w:rsidP="009C168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  <w:r>
              <w:t xml:space="preserve">Notify SLT staff - </w:t>
            </w:r>
            <w:r w:rsidR="00B87950" w:rsidRPr="0032544F">
              <w:t>create a settlement plan</w:t>
            </w:r>
          </w:p>
          <w:p w14:paraId="477BD99F" w14:textId="0BD670FD" w:rsidR="009C168A" w:rsidRDefault="009C168A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  <w:r>
              <w:t>C</w:t>
            </w:r>
            <w:r w:rsidR="00B87950" w:rsidRPr="0032544F">
              <w:t xml:space="preserve">ustomer </w:t>
            </w:r>
            <w:r>
              <w:t>dis</w:t>
            </w:r>
            <w:r w:rsidRPr="0032544F">
              <w:t>agrees</w:t>
            </w:r>
          </w:p>
          <w:p w14:paraId="067BA048" w14:textId="7AE4C16B" w:rsidR="00B87950" w:rsidRPr="0032544F" w:rsidRDefault="009C168A" w:rsidP="009C168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  <w:r>
              <w:t xml:space="preserve">Notify SLT staff - </w:t>
            </w:r>
            <w:r w:rsidR="00B87950" w:rsidRPr="0032544F">
              <w:t xml:space="preserve">create a dispute letter </w:t>
            </w:r>
          </w:p>
        </w:tc>
      </w:tr>
      <w:tr w:rsidR="00B87950" w:rsidRPr="00A74C2D" w14:paraId="01C14DDF" w14:textId="77777777" w:rsidTr="00EB263B">
        <w:trPr>
          <w:trHeight w:val="264"/>
        </w:trPr>
        <w:tc>
          <w:tcPr>
            <w:tcW w:w="2889" w:type="dxa"/>
          </w:tcPr>
          <w:p w14:paraId="29B7352F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18"/>
                <w:szCs w:val="18"/>
              </w:rPr>
            </w:pPr>
            <w:r>
              <w:rPr>
                <w:b/>
                <w:color w:val="000000"/>
              </w:rPr>
              <w:t xml:space="preserve"> Success path</w:t>
            </w:r>
          </w:p>
        </w:tc>
        <w:tc>
          <w:tcPr>
            <w:tcW w:w="3051" w:type="dxa"/>
            <w:shd w:val="clear" w:color="auto" w:fill="C4BA94"/>
          </w:tcPr>
          <w:p w14:paraId="74800BAF" w14:textId="77777777" w:rsidR="00B87950" w:rsidRPr="0032544F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</w:rPr>
            </w:pPr>
          </w:p>
        </w:tc>
        <w:tc>
          <w:tcPr>
            <w:tcW w:w="2968" w:type="dxa"/>
            <w:shd w:val="clear" w:color="auto" w:fill="C4BA94"/>
          </w:tcPr>
          <w:p w14:paraId="6F4D40F1" w14:textId="77777777" w:rsidR="00B87950" w:rsidRPr="0032544F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</w:rPr>
            </w:pPr>
          </w:p>
        </w:tc>
      </w:tr>
      <w:tr w:rsidR="00B87950" w:rsidRPr="00A74C2D" w14:paraId="4553B5E4" w14:textId="77777777" w:rsidTr="00EB263B">
        <w:trPr>
          <w:trHeight w:val="1885"/>
        </w:trPr>
        <w:tc>
          <w:tcPr>
            <w:tcW w:w="2889" w:type="dxa"/>
          </w:tcPr>
          <w:p w14:paraId="6FD52246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2060"/>
              </w:rPr>
            </w:pPr>
          </w:p>
        </w:tc>
        <w:tc>
          <w:tcPr>
            <w:tcW w:w="3051" w:type="dxa"/>
          </w:tcPr>
          <w:p w14:paraId="5E90D576" w14:textId="77777777" w:rsidR="00B87950" w:rsidRPr="0032544F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  <w:r w:rsidRPr="0032544F">
              <w:t>If customer agree</w:t>
            </w:r>
          </w:p>
          <w:p w14:paraId="7559EE59" w14:textId="77777777" w:rsidR="00B87950" w:rsidRPr="0032544F" w:rsidRDefault="00B87950" w:rsidP="00EB263B"/>
          <w:p w14:paraId="1619CE69" w14:textId="77777777" w:rsidR="00B87950" w:rsidRPr="0032544F" w:rsidRDefault="00B87950" w:rsidP="00EB263B"/>
          <w:p w14:paraId="77105235" w14:textId="77777777" w:rsidR="00B87950" w:rsidRPr="0032544F" w:rsidRDefault="00B87950" w:rsidP="00EB263B"/>
          <w:p w14:paraId="482EA0B5" w14:textId="77777777" w:rsidR="00B87950" w:rsidRPr="0032544F" w:rsidRDefault="00B87950" w:rsidP="00EB263B">
            <w:r w:rsidRPr="0032544F">
              <w:t xml:space="preserve">   Else </w:t>
            </w:r>
          </w:p>
        </w:tc>
        <w:tc>
          <w:tcPr>
            <w:tcW w:w="2968" w:type="dxa"/>
          </w:tcPr>
          <w:p w14:paraId="3FD8177F" w14:textId="583224D4" w:rsidR="00B87950" w:rsidRPr="0032544F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32544F">
              <w:t xml:space="preserve">Then create </w:t>
            </w:r>
            <w:r w:rsidR="000C432C">
              <w:t>a </w:t>
            </w:r>
            <w:r w:rsidRPr="0032544F">
              <w:t>settlement letter</w:t>
            </w:r>
          </w:p>
          <w:p w14:paraId="600A3183" w14:textId="77777777" w:rsidR="00B87950" w:rsidRPr="0032544F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</w:p>
          <w:p w14:paraId="021A4848" w14:textId="77777777" w:rsidR="00B87950" w:rsidRPr="0032544F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32544F">
              <w:t>Create dispute letter</w:t>
            </w:r>
          </w:p>
        </w:tc>
      </w:tr>
      <w:tr w:rsidR="00B87950" w:rsidRPr="00A74C2D" w14:paraId="75DE7C0F" w14:textId="77777777" w:rsidTr="00EB263B">
        <w:trPr>
          <w:trHeight w:val="537"/>
        </w:trPr>
        <w:tc>
          <w:tcPr>
            <w:tcW w:w="2889" w:type="dxa"/>
          </w:tcPr>
          <w:p w14:paraId="3775CD76" w14:textId="77777777" w:rsidR="00B87950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3D580C59" w14:textId="77777777" w:rsidR="00B87950" w:rsidRPr="00A74C2D" w:rsidRDefault="00B87950" w:rsidP="00EB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2060"/>
              </w:rPr>
            </w:pPr>
          </w:p>
        </w:tc>
      </w:tr>
    </w:tbl>
    <w:p w14:paraId="534A1466" w14:textId="0ED8FD99" w:rsidR="009F1AFD" w:rsidRDefault="009F1AFD"/>
    <w:p w14:paraId="22D52FB9" w14:textId="77777777" w:rsidR="0038717C" w:rsidRDefault="0038717C"/>
    <w:p w14:paraId="47CAC48C" w14:textId="77777777" w:rsidR="0038717C" w:rsidRDefault="0038717C"/>
    <w:p w14:paraId="486CF13A" w14:textId="77777777" w:rsidR="0038717C" w:rsidRDefault="0038717C"/>
    <w:p w14:paraId="3D824800" w14:textId="77777777" w:rsidR="0038717C" w:rsidRDefault="0038717C"/>
    <w:p w14:paraId="089D50FF" w14:textId="77777777" w:rsidR="0038717C" w:rsidRDefault="0038717C"/>
    <w:p w14:paraId="259A7CC8" w14:textId="77777777" w:rsidR="0038717C" w:rsidRDefault="0038717C"/>
    <w:p w14:paraId="6C07E770" w14:textId="77777777" w:rsidR="0038717C" w:rsidRDefault="0038717C"/>
    <w:p w14:paraId="5D905044" w14:textId="77777777" w:rsidR="0038717C" w:rsidRDefault="0038717C"/>
    <w:p w14:paraId="11B99CE2" w14:textId="77777777" w:rsidR="0038717C" w:rsidRDefault="0038717C"/>
    <w:sectPr w:rsidR="0038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2C4"/>
    <w:multiLevelType w:val="hybridMultilevel"/>
    <w:tmpl w:val="727E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738A"/>
    <w:multiLevelType w:val="hybridMultilevel"/>
    <w:tmpl w:val="9C0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5F63"/>
    <w:multiLevelType w:val="hybridMultilevel"/>
    <w:tmpl w:val="4A54DB3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3A75A98"/>
    <w:multiLevelType w:val="hybridMultilevel"/>
    <w:tmpl w:val="6116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4DDE"/>
    <w:multiLevelType w:val="hybridMultilevel"/>
    <w:tmpl w:val="2928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A4644"/>
    <w:multiLevelType w:val="hybridMultilevel"/>
    <w:tmpl w:val="85CEB706"/>
    <w:lvl w:ilvl="0" w:tplc="E13C6B2A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6DF402C7"/>
    <w:multiLevelType w:val="hybridMultilevel"/>
    <w:tmpl w:val="B93A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30037E"/>
    <w:multiLevelType w:val="hybridMultilevel"/>
    <w:tmpl w:val="7970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66DF3"/>
    <w:multiLevelType w:val="multilevel"/>
    <w:tmpl w:val="1A66319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9" w15:restartNumberingAfterBreak="0">
    <w:nsid w:val="778A34B3"/>
    <w:multiLevelType w:val="hybridMultilevel"/>
    <w:tmpl w:val="7354CA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50"/>
    <w:rsid w:val="00093777"/>
    <w:rsid w:val="000C432C"/>
    <w:rsid w:val="00103C7A"/>
    <w:rsid w:val="00107135"/>
    <w:rsid w:val="00156177"/>
    <w:rsid w:val="001E0971"/>
    <w:rsid w:val="00245A09"/>
    <w:rsid w:val="00271936"/>
    <w:rsid w:val="002C33DB"/>
    <w:rsid w:val="0038717C"/>
    <w:rsid w:val="003F7F48"/>
    <w:rsid w:val="00477645"/>
    <w:rsid w:val="006D3B90"/>
    <w:rsid w:val="007170CF"/>
    <w:rsid w:val="008D4BE0"/>
    <w:rsid w:val="009C168A"/>
    <w:rsid w:val="009F1AFD"/>
    <w:rsid w:val="00A36047"/>
    <w:rsid w:val="00A6159B"/>
    <w:rsid w:val="00B32C75"/>
    <w:rsid w:val="00B87950"/>
    <w:rsid w:val="00BD458F"/>
    <w:rsid w:val="00D021C8"/>
    <w:rsid w:val="00E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9E9FD"/>
  <w15:chartTrackingRefBased/>
  <w15:docId w15:val="{B1F16BEA-EA95-4C0D-925A-CC47B0B2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5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9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1001</Characters>
  <Application>Microsoft Office Word</Application>
  <DocSecurity>0</DocSecurity>
  <Lines>71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 Prabashini</dc:creator>
  <cp:keywords/>
  <dc:description/>
  <cp:lastModifiedBy>Ishara Wijesundara</cp:lastModifiedBy>
  <cp:revision>3</cp:revision>
  <dcterms:created xsi:type="dcterms:W3CDTF">2024-10-26T05:26:00Z</dcterms:created>
  <dcterms:modified xsi:type="dcterms:W3CDTF">2024-10-26T05:27:00Z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5692d1fd-f09d-4bef-ab74-10dc7157e6d5</vt:lpwstr>
  </property>
</Properties>
</file>