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GM0004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03:36:43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0000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31.0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10.0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