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C71"/>
          <w:sz w:val="56"/>
        </w:rPr>
        <w:t>SP to Config/Rules Pattern Analysis</w:t>
      </w:r>
    </w:p>
    <w:p>
      <w:pPr>
        <w:jc w:val="center"/>
      </w:pPr>
      <w:r>
        <w:rPr>
          <w:color w:val="666666"/>
          <w:sz w:val="28"/>
        </w:rPr>
        <w:t>PO Module Modernization - Comprehensive Analysis</w:t>
      </w:r>
    </w:p>
    <w:p/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5F5F5"/>
          </w:tcPr>
          <w:p>
            <w:r>
              <w:rPr>
                <w:color w:val="666666"/>
                <w:sz w:val="20"/>
              </w:rPr>
              <w:t>Project: PO Modernization</w:t>
            </w:r>
          </w:p>
        </w:tc>
        <w:tc>
          <w:tcPr>
            <w:tcW w:type="dxa" w:w="3135"/>
            <w:shd w:fill="F5F5F5"/>
          </w:tcPr>
          <w:p>
            <w:pPr>
              <w:jc w:val="center"/>
            </w:pPr>
            <w:r>
              <w:rPr>
                <w:color w:val="666666"/>
                <w:sz w:val="20"/>
              </w:rPr>
              <w:t>Version: 1.0</w:t>
            </w:r>
          </w:p>
        </w:tc>
        <w:tc>
          <w:tcPr>
            <w:tcW w:type="dxa" w:w="3135"/>
            <w:shd w:fill="F5F5F5"/>
          </w:tcPr>
          <w:p>
            <w:pPr>
              <w:jc w:val="right"/>
            </w:pPr>
            <w:r>
              <w:rPr>
                <w:color w:val="27AE60"/>
                <w:sz w:val="20"/>
              </w:rPr>
              <w:t>Status: Complete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The PO Modernization project transforms legacy stored procedures into a modern, </w:t>
      </w:r>
      <w:r>
        <w:rPr>
          <w:b/>
          <w:sz w:val="22"/>
        </w:rPr>
        <w:t>microservices-based architecture</w:t>
      </w:r>
      <w:r>
        <w:rPr>
          <w:sz w:val="22"/>
        </w:rPr>
        <w:t xml:space="preserve"> with clean separation of concerns.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C7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SPs Analyzed</w:t>
            </w:r>
          </w:p>
        </w:tc>
        <w:tc>
          <w:tcPr>
            <w:tcW w:type="dxa" w:w="2351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Lines of Code</w:t>
            </w:r>
          </w:p>
        </w:tc>
        <w:tc>
          <w:tcPr>
            <w:tcW w:type="dxa" w:w="2351"/>
            <w:shd w:fill="E67E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 Keys</w:t>
            </w:r>
          </w:p>
        </w:tc>
        <w:tc>
          <w:tcPr>
            <w:tcW w:type="dxa" w:w="2351"/>
            <w:shd w:fill="8E44A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DRL Rules</w:t>
            </w:r>
          </w:p>
        </w:tc>
      </w:tr>
      <w:tr>
        <w:tc>
          <w:tcPr>
            <w:tcW w:type="dxa" w:w="2351"/>
            <w:shd w:fill="F5F5F5"/>
          </w:tcPr>
          <w:p>
            <w:pPr>
              <w:jc w:val="center"/>
            </w:pPr>
            <w:r>
              <w:rPr>
                <w:b/>
                <w:color w:val="1B3A5C"/>
                <w:sz w:val="36"/>
              </w:rPr>
              <w:t>115</w:t>
            </w:r>
          </w:p>
        </w:tc>
        <w:tc>
          <w:tcPr>
            <w:tcW w:type="dxa" w:w="2351"/>
            <w:shd w:fill="F5F5F5"/>
          </w:tcPr>
          <w:p>
            <w:pPr>
              <w:jc w:val="center"/>
            </w:pPr>
            <w:r>
              <w:rPr>
                <w:b/>
                <w:color w:val="1B3A5C"/>
                <w:sz w:val="36"/>
              </w:rPr>
              <w:t>~37,300</w:t>
            </w:r>
          </w:p>
        </w:tc>
        <w:tc>
          <w:tcPr>
            <w:tcW w:type="dxa" w:w="2351"/>
            <w:shd w:fill="F5F5F5"/>
          </w:tcPr>
          <w:p>
            <w:pPr>
              <w:jc w:val="center"/>
            </w:pPr>
            <w:r>
              <w:rPr>
                <w:b/>
                <w:color w:val="1B3A5C"/>
                <w:sz w:val="36"/>
              </w:rPr>
              <w:t>145</w:t>
            </w:r>
          </w:p>
        </w:tc>
        <w:tc>
          <w:tcPr>
            <w:tcW w:type="dxa" w:w="2351"/>
            <w:shd w:fill="F5F5F5"/>
          </w:tcPr>
          <w:p>
            <w:pPr>
              <w:jc w:val="center"/>
            </w:pPr>
            <w:r>
              <w:rPr>
                <w:b/>
                <w:color w:val="1B3A5C"/>
                <w:sz w:val="36"/>
              </w:rPr>
              <w:t>140</w:t>
            </w:r>
          </w:p>
        </w:tc>
      </w:tr>
    </w:tbl>
    <w:p/>
    <w:p>
      <w:pPr>
        <w:pStyle w:val="Heading2"/>
      </w:pPr>
      <w:r>
        <w:t>The Transformation</w:t>
      </w:r>
    </w:p>
    <w:p>
      <w:r>
        <w:rPr>
          <w:sz w:val="22"/>
        </w:rPr>
        <w:t>Legacy stored procedures are decomposed into four distinct components: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Merge w:val="restart"/>
            <w:shd w:fill="FADBD8"/>
            <w:tcBorders>
              <w:top w:val="single" w:sz="8" w:color="C0392B"/>
              <w:left w:val="single" w:sz="8" w:color="C0392B"/>
              <w:bottom w:val="single" w:sz="8" w:color="C0392B"/>
              <w:right w:val="single" w:sz="8" w:color="C0392B"/>
            </w:tcBorders>
          </w:tcPr>
          <w:p>
            <w:pPr>
              <w:jc w:val="center"/>
            </w:pPr>
            <w:r>
              <w:rPr>
                <w:sz w:val="18"/>
              </w:rPr>
              <w:t>LEGACY</w:t>
              <w:br/>
              <w:br/>
              <w:t>lsp_FinalizeReceipt_Wrapper</w:t>
              <w:br/>
              <w:t>(2,956 lines)</w:t>
              <w:br/>
              <w:br/>
              <w:t>Mixed Concerns:</w:t>
              <w:br/>
              <w:t>• Config lookups</w:t>
              <w:br/>
              <w:t>• Validation rules</w:t>
              <w:br/>
              <w:t>• Status transitions</w:t>
              <w:br/>
              <w:t>• Client IF-ELSE</w:t>
              <w:br/>
              <w:t>• Core logic</w:t>
            </w:r>
          </w:p>
        </w:tc>
        <w:tc>
          <w:tcPr>
            <w:tcW w:type="dxa" w:w="1881"/>
            <w:vMerge w:val="restart"/>
          </w:tcPr>
          <w:p>
            <w:pPr>
              <w:jc w:val="center"/>
            </w:pPr>
            <w:r>
              <w:rPr>
                <w:color w:val="2E75B6"/>
                <w:sz w:val="48"/>
              </w:rPr>
              <w:t>→</w:t>
            </w:r>
          </w:p>
        </w:tc>
        <w:tc>
          <w:tcPr>
            <w:tcW w:type="dxa" w:w="1881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PO-CONFIG</w:t>
            </w:r>
          </w:p>
        </w:tc>
        <w:tc>
          <w:tcPr>
            <w:tcW w:type="dxa" w:w="1881"/>
            <w:shd w:fill="E67E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PO-RULES</w:t>
            </w:r>
          </w:p>
        </w:tc>
        <w:tc>
          <w:tcPr>
            <w:tcW w:type="dxa" w:w="1881"/>
            <w:shd w:fill="8E44A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PO-PLUGIN</w:t>
            </w:r>
          </w:p>
        </w:tc>
      </w:tr>
      <w:tr>
        <w:tc>
          <w:tcPr>
            <w:tcW w:type="dxa" w:w="1881"/>
            <w:vMerge/>
          </w:tcPr>
          <w:p/>
        </w:tc>
        <w:tc>
          <w:tcPr>
            <w:tcW w:type="dxa" w:w="1881"/>
            <w:vMerge/>
          </w:tcPr>
          <w:p/>
        </w:tc>
        <w:tc>
          <w:tcPr>
            <w:tcW w:type="dxa" w:w="1881"/>
            <w:shd w:fill="F8F9FA"/>
          </w:tcPr>
          <w:p>
            <w:pPr>
              <w:jc w:val="center"/>
            </w:pPr>
            <w:r>
              <w:rPr>
                <w:sz w:val="18"/>
              </w:rPr>
              <w:t>YAML/Java</w:t>
              <w:br/>
              <w:br/>
              <w:t>• Static settings</w:t>
              <w:br/>
              <w:t>• Feature flags</w:t>
              <w:br/>
              <w:t>• Thresholds</w:t>
            </w:r>
          </w:p>
        </w:tc>
        <w:tc>
          <w:tcPr>
            <w:tcW w:type="dxa" w:w="1881"/>
            <w:shd w:fill="F8F9FA"/>
          </w:tcPr>
          <w:p>
            <w:pPr>
              <w:jc w:val="center"/>
            </w:pPr>
            <w:r>
              <w:rPr>
                <w:sz w:val="18"/>
              </w:rPr>
              <w:t>Drools DRL</w:t>
              <w:br/>
              <w:br/>
              <w:t>• Dynamic validation</w:t>
              <w:br/>
              <w:t>• Lottable generation</w:t>
              <w:br/>
              <w:t>• Computed values</w:t>
            </w:r>
          </w:p>
        </w:tc>
        <w:tc>
          <w:tcPr>
            <w:tcW w:type="dxa" w:w="1881"/>
            <w:shd w:fill="F8F9FA"/>
          </w:tcPr>
          <w:p>
            <w:pPr>
              <w:jc w:val="center"/>
            </w:pPr>
            <w:r>
              <w:rPr>
                <w:sz w:val="18"/>
              </w:rPr>
              <w:t>Java SPI</w:t>
              <w:br/>
              <w:br/>
              <w:t>• Client hooks</w:t>
              <w:br/>
              <w:t>• Region extensions</w:t>
              <w:br/>
              <w:t>• Custom logic</w:t>
            </w:r>
          </w:p>
        </w:tc>
      </w:tr>
      <w:tr>
        <w:tc>
          <w:tcPr>
            <w:tcW w:type="dxa" w:w="3762"/>
            <w:gridSpan w:val="2"/>
          </w:tcPr>
          <w:p>
            <w:pPr>
              <w:jc w:val="center"/>
            </w:pPr>
            <w:r>
              <w:rPr>
                <w:i/>
                <w:color w:val="C0392B"/>
              </w:rPr>
              <w:t>Single Monolithic SP</w:t>
            </w:r>
          </w:p>
        </w:tc>
        <w:tc>
          <w:tcPr>
            <w:tcW w:type="dxa" w:w="5643"/>
            <w:gridSpan w:val="3"/>
          </w:tcPr>
          <w:p>
            <w:pPr>
              <w:jc w:val="center"/>
            </w:pPr>
            <w:r>
              <w:rPr>
                <w:i/>
                <w:color w:val="27AE60"/>
              </w:rPr>
              <w:t>Clean Separation of Concerns</w:t>
            </w:r>
          </w:p>
        </w:tc>
      </w:tr>
    </w:tbl>
    <w:p/>
    <w:p>
      <w:pPr>
        <w:pStyle w:val="Heading1"/>
      </w:pPr>
      <w:r>
        <w:t>SP Category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 Count</w:t>
            </w:r>
          </w:p>
        </w:tc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LOC</w:t>
            </w:r>
          </w:p>
        </w:tc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 Keys</w:t>
            </w:r>
          </w:p>
        </w:tc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DRL Rules</w:t>
            </w:r>
          </w:p>
        </w:tc>
        <w:tc>
          <w:tcPr>
            <w:tcW w:type="dxa" w:w="15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Plugins</w:t>
            </w:r>
          </w:p>
        </w:tc>
      </w:tr>
      <w:tr>
        <w:tc>
          <w:tcPr>
            <w:tcW w:type="dxa" w:w="1568"/>
            <w:shd w:fill="FFFFFF"/>
          </w:tcPr>
          <w:p>
            <w:r>
              <w:rPr>
                <w:sz w:val="20"/>
              </w:rPr>
              <w:t>Core Wrappers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~15,000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568"/>
            <w:shd w:fill="F5F5F5"/>
          </w:tcPr>
          <w:p>
            <w:r>
              <w:rPr>
                <w:sz w:val="20"/>
              </w:rPr>
              <w:t>Core Business Logic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~8,000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568"/>
            <w:shd w:fill="FFFFFF"/>
          </w:tcPr>
          <w:p>
            <w:r>
              <w:rPr>
                <w:sz w:val="20"/>
              </w:rPr>
              <w:t>Post-Finalize Hooks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~2,500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568"/>
            <w:shd w:fill="F5F5F5"/>
          </w:tcPr>
          <w:p>
            <w:r>
              <w:rPr>
                <w:sz w:val="20"/>
              </w:rPr>
              <w:t>Pre-Finalize Hooks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~1,800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568"/>
            <w:shd w:fill="FFFFFF"/>
          </w:tcPr>
          <w:p>
            <w:r>
              <w:rPr>
                <w:sz w:val="20"/>
              </w:rPr>
              <w:t>Lottable Generation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~3,500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  <w:shd w:fill="FFFFFF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568"/>
            <w:shd w:fill="F5F5F5"/>
          </w:tcPr>
          <w:p>
            <w:r>
              <w:rPr>
                <w:sz w:val="20"/>
              </w:rPr>
              <w:t>Client-Specific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~6,500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568"/>
            <w:shd w:fill="F5F5F5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568"/>
            <w:shd w:fill="D6E4F0"/>
          </w:tcPr>
          <w:p>
            <w:pPr>
              <w:jc w:val="center"/>
            </w:pPr>
            <w:r>
              <w:rPr>
                <w:b/>
                <w:sz w:val="20"/>
              </w:rPr>
              <w:t>115</w:t>
            </w:r>
          </w:p>
        </w:tc>
        <w:tc>
          <w:tcPr>
            <w:tcW w:type="dxa" w:w="1568"/>
            <w:shd w:fill="D6E4F0"/>
          </w:tcPr>
          <w:p>
            <w:pPr>
              <w:jc w:val="center"/>
            </w:pPr>
            <w:r>
              <w:rPr>
                <w:b/>
                <w:sz w:val="20"/>
              </w:rPr>
              <w:t>~37,300</w:t>
            </w:r>
          </w:p>
        </w:tc>
        <w:tc>
          <w:tcPr>
            <w:tcW w:type="dxa" w:w="1568"/>
            <w:shd w:fill="D6E4F0"/>
          </w:tcPr>
          <w:p>
            <w:pPr>
              <w:jc w:val="center"/>
            </w:pPr>
            <w:r>
              <w:rPr>
                <w:b/>
                <w:sz w:val="20"/>
              </w:rPr>
              <w:t>145</w:t>
            </w:r>
          </w:p>
        </w:tc>
        <w:tc>
          <w:tcPr>
            <w:tcW w:type="dxa" w:w="1568"/>
            <w:shd w:fill="D6E4F0"/>
          </w:tcPr>
          <w:p>
            <w:pPr>
              <w:jc w:val="center"/>
            </w:pPr>
            <w:r>
              <w:rPr>
                <w:b/>
                <w:sz w:val="20"/>
              </w:rPr>
              <w:t>140</w:t>
            </w:r>
          </w:p>
        </w:tc>
        <w:tc>
          <w:tcPr>
            <w:tcW w:type="dxa" w:w="1568"/>
            <w:shd w:fill="D6E4F0"/>
          </w:tcPr>
          <w:p>
            <w:pPr>
              <w:jc w:val="center"/>
            </w:pPr>
            <w:r>
              <w:rPr>
                <w:b/>
                <w:sz w:val="20"/>
              </w:rPr>
              <w:t>130</w:t>
            </w:r>
          </w:p>
        </w:tc>
      </w:tr>
    </w:tbl>
    <w:p/>
    <w:p>
      <w:pPr>
        <w:pStyle w:val="Heading1"/>
      </w:pPr>
      <w:r>
        <w:t>Complete SP Inventory</w:t>
      </w:r>
    </w:p>
    <w:p>
      <w:pPr>
        <w:pStyle w:val="Heading2"/>
      </w:pPr>
      <w:r>
        <w:t>WM Wrapper SPs (Entry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 Name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WM.lsp_FinalizeReceipt_Wrapper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2,956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Master finalization orchestrator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Temporal Workflow + Services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WM.lsp_ASN_PopulatePOs_Wrapper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1,871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Populate ASN from PO headers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PopulationService + Plugins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WM.lsp_ASN_PopulatePODs_Wrapper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1,812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Populate ASN from PO details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PopulationService + Plugins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WM.lsp_ASN_PopulateSOs_Wrapper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1,574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Populate ASN from SO (returns)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PopulationService + Plugins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WM.lsp_ASN_PopulateSODs_Wrapper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1,456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Populate ASN from SO details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PopulationService + Plugins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WM.lsp_ASNReleasePATask_Wrapper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Release putaway tasks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PutawayService + Config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WM.lsp_FlowThruAllocate_Wrapper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780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Cross-dock allocation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XDockService + Rules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WM.lsp_XDockAllocation_Wrapper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 order processing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XDockService + Rules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WM.lsp_Validate_Receipt_Std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540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Standard receipt validation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ValidationService + DRL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WM.lsp_Validate_Receiptdetail_Std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Receipt detail validation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ValidationService + DRL</w:t>
            </w:r>
          </w:p>
        </w:tc>
      </w:tr>
    </w:tbl>
    <w:p/>
    <w:p>
      <w:pPr>
        <w:pStyle w:val="Heading2"/>
      </w:pPr>
      <w:r>
        <w:t>Core Business Logic SPs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 Name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ispFinalizeReceipt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1,850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Core finalization engine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FinalizeReceiptService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nspPASTD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3,021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Standard putaway logic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PutawayService + Config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nsp_xdockorderprocessing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1,783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 order processing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XDockService + Rules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mspASNFZ01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 auto-create SO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XDockService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mspPopulateToASN_DEFFA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Factory ASN population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PopulationService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ispBatPA02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 CRW putaway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PutawayService + NikePlugin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ispBatPA05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 CallofModel putaway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PutawayService + NikePlugin</w:t>
            </w:r>
          </w:p>
        </w:tc>
      </w:tr>
    </w:tbl>
    <w:p/>
    <w:p>
      <w:pPr>
        <w:pStyle w:val="Heading2"/>
      </w:pPr>
      <w:r>
        <w:t>Pre-Finalize Hook SPs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 Name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ispPRREC01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CN H&amp;M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ToID/SSCC swap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HMPreFinalizePlugin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ispPRREC02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Generic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Pre-receipt validation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ValidationService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ispPRREC05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UCC validation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NikePreFinalizePlugin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ispPRREC13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TH DSG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Tolerance check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DSGPreFinalizePlugin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ispPRREC22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Style validation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AdidasPreFinalizePlugin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ispPRREC23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Columbia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UCC validation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ColumbiaPreFinalizePlugin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ispPRREC24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New Look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Auto-adjustment prep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NewLookPreFinalizePlugin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ispPRREC25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Unilever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Batch validation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UnileverPreFinalizePlugin</w:t>
            </w:r>
          </w:p>
        </w:tc>
      </w:tr>
    </w:tbl>
    <w:p/>
    <w:p>
      <w:pPr>
        <w:pStyle w:val="Heading2"/>
      </w:pPr>
      <w:r>
        <w:t>Post-Finalize Hook SPs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 Name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8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ispASNFZ01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Auto-create SO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XDockPostFinalizePlugin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ispASNFZ02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CN Nike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UCC stamp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NikeCNPostFinalizePlugin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ispASNFZ05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Generic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GRN generation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GRNGenerationPlugin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ispASNFZ09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CN New Look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Auto-adjustments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NewLookPostFinalizePlugin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ispASNFZ11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Label generation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AdidasPostFinalizePlugin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ispASNFZ13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PVH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Customs update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PVHPostFinalizePlugin</w:t>
            </w:r>
          </w:p>
        </w:tc>
      </w:tr>
      <w:tr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ispASNFZ18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Puma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Quality update</w:t>
            </w:r>
          </w:p>
        </w:tc>
        <w:tc>
          <w:tcPr>
            <w:tcW w:type="dxa" w:w="188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PumaPostFinalizePlugin</w:t>
            </w:r>
          </w:p>
        </w:tc>
      </w:tr>
      <w:tr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ispASNFZ19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H&amp;M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Status sync</w:t>
            </w:r>
          </w:p>
        </w:tc>
        <w:tc>
          <w:tcPr>
            <w:tcW w:type="dxa" w:w="188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HMPostFinalizePlugin</w:t>
            </w:r>
          </w:p>
        </w:tc>
      </w:tr>
    </w:tbl>
    <w:p/>
    <w:p>
      <w:pPr>
        <w:pStyle w:val="Heading2"/>
      </w:pPr>
      <w:r>
        <w:t>Client-Specific Populate SPs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 Name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2351"/>
            <w:shd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Replacement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ispPopulateTOASN_NIKE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 Global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NikePopulatePlugin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ispPopulateToASN_NIKECRW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 China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NikeCNPopulatePlugin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ispPopulateTOASN_HM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H&amp;M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HMPopulatePlugin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ispPopulateTOASN_ADIDAS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AdidasPopulatePlugin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ispPopulateTOASN_COLUMBIA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Columbia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ColumbiaPopulatePlugin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ispPopulateTOASN_NEWLOOK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New Look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NewLookPopulatePlugin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ispPopulateTOASN_ULM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Unilever MY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UnileverMYPopulatePlugin</w:t>
            </w:r>
          </w:p>
        </w:tc>
      </w:tr>
      <w:tr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ispPopulateTOASN_PUMA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Puma</w:t>
            </w:r>
          </w:p>
        </w:tc>
        <w:tc>
          <w:tcPr>
            <w:tcW w:type="dxa" w:w="2351"/>
            <w:shd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PumaPopulatePlugin</w:t>
            </w:r>
          </w:p>
        </w:tc>
      </w:tr>
      <w:tr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color w:val="2E75B6"/>
                <w:sz w:val="18"/>
              </w:rPr>
              <w:t>ispPopulateTOASN_PVH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PVH</w:t>
            </w:r>
          </w:p>
        </w:tc>
        <w:tc>
          <w:tcPr>
            <w:tcW w:type="dxa" w:w="2351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sz w:val="18"/>
              </w:rPr>
              <w:t>PVHPopulatePlugin</w:t>
            </w:r>
          </w:p>
        </w:tc>
      </w:tr>
    </w:tbl>
    <w:p/>
    <w:p>
      <w:pPr>
        <w:pStyle w:val="Heading1"/>
      </w:pPr>
      <w:r>
        <w:t>Pattern Classification</w:t>
      </w:r>
    </w:p>
    <w:p>
      <w:pPr>
        <w:pStyle w:val="Heading2"/>
      </w:pPr>
      <w:r>
        <w:t>Pattern: Configuration Lookup</w:t>
      </w:r>
    </w:p>
    <w:p>
      <w:r>
        <w:rPr>
          <w:i/>
          <w:sz w:val="22"/>
        </w:rPr>
        <w:t>Static configuration values are moved from database lookups to YAML configuration files.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Legacy T-SQL</w:t>
            </w:r>
          </w:p>
        </w:tc>
        <w:tc>
          <w:tcPr>
            <w:tcW w:type="dxa" w:w="3135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→</w:t>
            </w:r>
          </w:p>
        </w:tc>
        <w:tc>
          <w:tcPr>
            <w:tcW w:type="dxa" w:w="3135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Modern Java/Drools</w:t>
            </w:r>
          </w:p>
        </w:tc>
      </w:tr>
      <w:tr>
        <w:tc>
          <w:tcPr>
            <w:tcW w:type="dxa" w:w="3135"/>
            <w:shd w:fill="FDF2F2"/>
          </w:tcPr>
          <w:p>
            <w:r>
              <w:rPr>
                <w:rFonts w:ascii="Consolas" w:hAnsi="Consolas"/>
                <w:sz w:val="16"/>
              </w:rPr>
              <w:t>SELECT @value = configvalue</w:t>
              <w:br/>
              <w:t>FROM storerconfig</w:t>
              <w:br/>
              <w:t>WHERE storerkey = @StorerKey</w:t>
              <w:br/>
              <w:t xml:space="preserve">  AND configkey = 'AllowOverReceipt'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2E75B6"/>
                <w:sz w:val="40"/>
              </w:rPr>
              <w:t>→</w:t>
            </w:r>
          </w:p>
        </w:tc>
        <w:tc>
          <w:tcPr>
            <w:tcW w:type="dxa" w:w="3135"/>
            <w:shd w:fill="F2FDF2"/>
          </w:tcPr>
          <w:p>
            <w:r>
              <w:rPr>
                <w:rFonts w:ascii="Consolas" w:hAnsi="Consolas"/>
                <w:sz w:val="16"/>
              </w:rPr>
              <w:t xml:space="preserve">boolean allowOverReceipt = </w:t>
              <w:br/>
              <w:t xml:space="preserve">  validationConfig.allowOverReceipt(</w:t>
              <w:br/>
              <w:t xml:space="preserve">    storerKey</w:t>
              <w:br/>
              <w:t xml:space="preserve">  );</w:t>
            </w:r>
          </w:p>
        </w:tc>
      </w:tr>
    </w:tbl>
    <w:p/>
    <w:p>
      <w:pPr>
        <w:pStyle w:val="Heading2"/>
      </w:pPr>
      <w:r>
        <w:t>Pattern: Validation with Threshold</w:t>
      </w:r>
    </w:p>
    <w:p>
      <w:r>
        <w:rPr>
          <w:i/>
          <w:sz w:val="22"/>
        </w:rPr>
        <w:t>Validation rules with thresholds are migrated to Drools DRL rules for better maintainability.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Legacy T-SQL</w:t>
            </w:r>
          </w:p>
        </w:tc>
        <w:tc>
          <w:tcPr>
            <w:tcW w:type="dxa" w:w="3135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→</w:t>
            </w:r>
          </w:p>
        </w:tc>
        <w:tc>
          <w:tcPr>
            <w:tcW w:type="dxa" w:w="3135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Modern Java/Drools</w:t>
            </w:r>
          </w:p>
        </w:tc>
      </w:tr>
      <w:tr>
        <w:tc>
          <w:tcPr>
            <w:tcW w:type="dxa" w:w="3135"/>
            <w:shd w:fill="FDF2F2"/>
          </w:tcPr>
          <w:p>
            <w:r>
              <w:rPr>
                <w:rFonts w:ascii="Consolas" w:hAnsi="Consolas"/>
                <w:sz w:val="16"/>
              </w:rPr>
              <w:t xml:space="preserve">IF @ReceivedQty &gt; @ExpectedQty * </w:t>
              <w:br/>
              <w:t xml:space="preserve">   (1 + @Tolerance/100)</w:t>
              <w:br/>
              <w:t xml:space="preserve">  RAISERROR('Over-receipt exceeds</w:t>
              <w:br/>
              <w:t xml:space="preserve">    tolerance', 16, 1)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2E75B6"/>
                <w:sz w:val="40"/>
              </w:rPr>
              <w:t>→</w:t>
            </w:r>
          </w:p>
        </w:tc>
        <w:tc>
          <w:tcPr>
            <w:tcW w:type="dxa" w:w="3135"/>
            <w:shd w:fill="F2FDF2"/>
          </w:tcPr>
          <w:p>
            <w:r>
              <w:rPr>
                <w:rFonts w:ascii="Consolas" w:hAnsi="Consolas"/>
                <w:sz w:val="16"/>
              </w:rPr>
              <w:t>rule "Over-receipt validation"</w:t>
              <w:br/>
              <w:t xml:space="preserve">  when $line : ReceiptLine(</w:t>
              <w:br/>
              <w:t xml:space="preserve">    qtyReceived &gt; qtyExpected * </w:t>
              <w:br/>
              <w:t xml:space="preserve">    (1 + tolerance))</w:t>
              <w:br/>
              <w:t xml:space="preserve">  then $line.addError(</w:t>
              <w:br/>
              <w:t xml:space="preserve">    "Over-receipt exceeds tolerance");</w:t>
              <w:br/>
              <w:t>end</w:t>
            </w:r>
          </w:p>
        </w:tc>
      </w:tr>
    </w:tbl>
    <w:p/>
    <w:p>
      <w:pPr>
        <w:pStyle w:val="Heading2"/>
      </w:pPr>
      <w:r>
        <w:t>Pattern: Client-Specific Branch</w:t>
      </w:r>
    </w:p>
    <w:p>
      <w:r>
        <w:rPr>
          <w:i/>
          <w:sz w:val="22"/>
        </w:rPr>
        <w:t>Client-specific IF-ELSE branches are replaced with a plugin architecture for extensibility.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Legacy T-SQL</w:t>
            </w:r>
          </w:p>
        </w:tc>
        <w:tc>
          <w:tcPr>
            <w:tcW w:type="dxa" w:w="3135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→</w:t>
            </w:r>
          </w:p>
        </w:tc>
        <w:tc>
          <w:tcPr>
            <w:tcW w:type="dxa" w:w="3135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Modern Java/Drools</w:t>
            </w:r>
          </w:p>
        </w:tc>
      </w:tr>
      <w:tr>
        <w:tc>
          <w:tcPr>
            <w:tcW w:type="dxa" w:w="3135"/>
            <w:shd w:fill="FDF2F2"/>
          </w:tcPr>
          <w:p>
            <w:r>
              <w:rPr>
                <w:rFonts w:ascii="Consolas" w:hAnsi="Consolas"/>
                <w:sz w:val="16"/>
              </w:rPr>
              <w:t>IF @StorerKey = 'NIKE'</w:t>
              <w:br/>
              <w:t xml:space="preserve">  EXEC ispNikeSpecificLogic @Key</w:t>
              <w:br/>
              <w:t>ELSE IF @StorerKey = 'HM'</w:t>
              <w:br/>
              <w:t xml:space="preserve">  EXEC ispHMSpecificLogic @Key</w:t>
              <w:br/>
              <w:t>ELSE IF @StorerKey = 'ADIDAS'</w:t>
              <w:br/>
              <w:t xml:space="preserve">  ... (50+ more IF-ELSE)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2E75B6"/>
                <w:sz w:val="40"/>
              </w:rPr>
              <w:t>→</w:t>
            </w:r>
          </w:p>
        </w:tc>
        <w:tc>
          <w:tcPr>
            <w:tcW w:type="dxa" w:w="3135"/>
            <w:shd w:fill="F2FDF2"/>
          </w:tcPr>
          <w:p>
            <w:r>
              <w:rPr>
                <w:rFonts w:ascii="Consolas" w:hAnsi="Consolas"/>
                <w:sz w:val="16"/>
              </w:rPr>
              <w:t xml:space="preserve">List&lt;PreFinalizePlugin&gt; plugins = </w:t>
              <w:br/>
              <w:t xml:space="preserve">  pluginRegistry.getPlugins(context);</w:t>
              <w:br/>
              <w:t xml:space="preserve">for (PreFinalizePlugin plugin : </w:t>
              <w:br/>
              <w:t xml:space="preserve">  plugins) {</w:t>
              <w:br/>
              <w:t xml:space="preserve">  plugin.execute(receipt, context);</w:t>
              <w:br/>
              <w:t>}</w:t>
            </w:r>
          </w:p>
        </w:tc>
      </w:tr>
    </w:tbl>
    <w:p/>
    <w:p>
      <w:pPr>
        <w:pStyle w:val="Heading2"/>
      </w:pPr>
      <w:r>
        <w:t>Pattern: Lottable Derivation</w:t>
      </w:r>
    </w:p>
    <w:p>
      <w:r>
        <w:rPr>
          <w:i/>
          <w:sz w:val="22"/>
        </w:rPr>
        <w:t>Complex lottable derivation logic is expressed as prioritized Drools rules.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Legacy T-SQL</w:t>
            </w:r>
          </w:p>
        </w:tc>
        <w:tc>
          <w:tcPr>
            <w:tcW w:type="dxa" w:w="3135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→</w:t>
            </w:r>
          </w:p>
        </w:tc>
        <w:tc>
          <w:tcPr>
            <w:tcW w:type="dxa" w:w="3135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Modern Java/Drools</w:t>
            </w:r>
          </w:p>
        </w:tc>
      </w:tr>
      <w:tr>
        <w:tc>
          <w:tcPr>
            <w:tcW w:type="dxa" w:w="3135"/>
            <w:shd w:fill="FDF2F2"/>
          </w:tcPr>
          <w:p>
            <w:r>
              <w:rPr>
                <w:rFonts w:ascii="Consolas" w:hAnsi="Consolas"/>
                <w:sz w:val="16"/>
              </w:rPr>
              <w:t xml:space="preserve">IF @Lottable02 IS NULL AND </w:t>
              <w:br/>
              <w:t xml:space="preserve">   @SupplierLot IS NOT NULL</w:t>
              <w:br/>
              <w:t xml:space="preserve">  SET @Lottable02 = @SupplierLot</w:t>
              <w:br/>
              <w:t>ELSE IF @Lottable02 IS NULL</w:t>
              <w:br/>
              <w:t xml:space="preserve">  SET @Lottable02 = 'RCV-' + </w:t>
              <w:br/>
              <w:t xml:space="preserve">    @ReceiptKey + '-' + @LineNumber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2E75B6"/>
                <w:sz w:val="40"/>
              </w:rPr>
              <w:t>→</w:t>
            </w:r>
          </w:p>
        </w:tc>
        <w:tc>
          <w:tcPr>
            <w:tcW w:type="dxa" w:w="3135"/>
            <w:shd w:fill="F2FDF2"/>
          </w:tcPr>
          <w:p>
            <w:r>
              <w:rPr>
                <w:rFonts w:ascii="Consolas" w:hAnsi="Consolas"/>
                <w:sz w:val="16"/>
              </w:rPr>
              <w:t>rule "Lottable02 from supplier lot"</w:t>
              <w:br/>
              <w:t xml:space="preserve">  salience 100</w:t>
              <w:br/>
              <w:t xml:space="preserve">  when $d : ReceiptDetailFact(</w:t>
              <w:br/>
              <w:t xml:space="preserve">    lottable02 == null, </w:t>
              <w:br/>
              <w:t xml:space="preserve">    supplierLot != null)</w:t>
              <w:br/>
              <w:t xml:space="preserve">  then $d.setLottable02(</w:t>
              <w:br/>
              <w:t xml:space="preserve">    $d.getSupplierLot());</w:t>
              <w:br/>
              <w:t>end</w:t>
            </w:r>
          </w:p>
        </w:tc>
      </w:tr>
    </w:tbl>
    <w:p/>
    <w:p>
      <w:pPr>
        <w:pStyle w:val="Heading2"/>
      </w:pPr>
      <w:r>
        <w:t>Pattern: Status Transition</w:t>
      </w:r>
    </w:p>
    <w:p>
      <w:r>
        <w:rPr>
          <w:i/>
          <w:sz w:val="22"/>
        </w:rPr>
        <w:t>Status transitions are validated against a configurable state machine.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Legacy T-SQL</w:t>
            </w:r>
          </w:p>
        </w:tc>
        <w:tc>
          <w:tcPr>
            <w:tcW w:type="dxa" w:w="3135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→</w:t>
            </w:r>
          </w:p>
        </w:tc>
        <w:tc>
          <w:tcPr>
            <w:tcW w:type="dxa" w:w="3135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Modern Java/Drools</w:t>
            </w:r>
          </w:p>
        </w:tc>
      </w:tr>
      <w:tr>
        <w:tc>
          <w:tcPr>
            <w:tcW w:type="dxa" w:w="3135"/>
            <w:shd w:fill="FDF2F2"/>
          </w:tcPr>
          <w:p>
            <w:r>
              <w:rPr>
                <w:rFonts w:ascii="Consolas" w:hAnsi="Consolas"/>
                <w:sz w:val="16"/>
              </w:rPr>
              <w:t>IF @CurrentStatus NOT IN ('0', '5')</w:t>
              <w:br/>
              <w:t xml:space="preserve">  RAISERROR('Invalid status for </w:t>
              <w:br/>
              <w:t xml:space="preserve">    finalization', 16, 1)</w:t>
              <w:br/>
              <w:t>UPDATE RECEIPT SET Status = '9'</w:t>
              <w:br/>
              <w:t>WHERE ReceiptKey = @ReceiptKey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2E75B6"/>
                <w:sz w:val="40"/>
              </w:rPr>
              <w:t>→</w:t>
            </w:r>
          </w:p>
        </w:tc>
        <w:tc>
          <w:tcPr>
            <w:tcW w:type="dxa" w:w="3135"/>
            <w:shd w:fill="F2FDF2"/>
          </w:tcPr>
          <w:p>
            <w:r>
              <w:rPr>
                <w:rFonts w:ascii="Consolas" w:hAnsi="Consolas"/>
                <w:sz w:val="16"/>
              </w:rPr>
              <w:t>if (!statusConfig.isValidTransition(</w:t>
              <w:br/>
              <w:t xml:space="preserve">    "RECEIPT", currentStatus, "9")) {</w:t>
              <w:br/>
              <w:t xml:space="preserve">  throw new BusinessException(</w:t>
              <w:br/>
              <w:t xml:space="preserve">    "Invalid status transition");</w:t>
              <w:br/>
              <w:t>}</w:t>
              <w:br/>
              <w:t>receipt.setStatus("9");</w:t>
            </w:r>
          </w:p>
        </w:tc>
      </w:tr>
    </w:tbl>
    <w:p/>
    <w:p>
      <w:pPr>
        <w:pStyle w:val="Heading1"/>
      </w:pPr>
      <w:r>
        <w:t>Migration Impact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6E4F0"/>
          </w:tcPr>
          <w:p>
            <w:r>
              <w:rPr>
                <w:b/>
                <w:color w:val="003C71"/>
              </w:rPr>
              <w:t>Key Benefits of the New Architecture</w:t>
            </w:r>
          </w:p>
        </w:tc>
      </w:tr>
    </w:tbl>
    <w:p/>
    <w:p>
      <w:r>
        <w:rPr>
          <w:b/>
          <w:color w:val="27AE60"/>
        </w:rPr>
        <w:t xml:space="preserve">✓ Maintainability: </w:t>
      </w:r>
      <w:r>
        <w:rPr>
          <w:sz w:val="22"/>
        </w:rPr>
        <w:t>Clean separation of concerns makes code easier to understand and modify</w:t>
      </w:r>
    </w:p>
    <w:p>
      <w:r>
        <w:rPr>
          <w:b/>
          <w:color w:val="27AE60"/>
        </w:rPr>
        <w:t xml:space="preserve">✓ Testability: </w:t>
      </w:r>
      <w:r>
        <w:rPr>
          <w:sz w:val="22"/>
        </w:rPr>
        <w:t>Each component can be unit tested in isolation</w:t>
      </w:r>
    </w:p>
    <w:p>
      <w:r>
        <w:rPr>
          <w:b/>
          <w:color w:val="27AE60"/>
        </w:rPr>
        <w:t xml:space="preserve">✓ Extensibility: </w:t>
      </w:r>
      <w:r>
        <w:rPr>
          <w:sz w:val="22"/>
        </w:rPr>
        <w:t>Plugin architecture allows adding new clients without code changes</w:t>
      </w:r>
    </w:p>
    <w:p>
      <w:r>
        <w:rPr>
          <w:b/>
          <w:color w:val="27AE60"/>
        </w:rPr>
        <w:t xml:space="preserve">✓ Configurability: </w:t>
      </w:r>
      <w:r>
        <w:rPr>
          <w:sz w:val="22"/>
        </w:rPr>
        <w:t>Business rules can be changed via YAML/DRL without deployment</w:t>
      </w:r>
    </w:p>
    <w:p>
      <w:r>
        <w:rPr>
          <w:b/>
          <w:color w:val="27AE60"/>
        </w:rPr>
        <w:t xml:space="preserve">✓ Observability: </w:t>
      </w:r>
      <w:r>
        <w:rPr>
          <w:sz w:val="22"/>
        </w:rPr>
        <w:t>Clear boundaries enable better logging and monitoring</w:t>
      </w:r>
    </w:p>
    <w:p/>
    <w:p>
      <w:pPr>
        <w:pStyle w:val="Heading2"/>
      </w:pPr>
      <w:r>
        <w:t>Migration Readiness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35"/>
            <w:shd w:fill="1B3A5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35"/>
            <w:shd w:fill="1B3A5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Configuration Migration</w:t>
            </w:r>
          </w:p>
        </w:tc>
        <w:tc>
          <w:tcPr>
            <w:tcW w:type="dxa" w:w="3135"/>
            <w:shd w:fill="D5F5E3"/>
          </w:tcPr>
          <w:p>
            <w:r>
              <w:rPr>
                <w:b/>
                <w:color w:val="27AE60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color w:val="666666"/>
                <w:sz w:val="20"/>
              </w:rPr>
              <w:t>145 config keys defined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Rules Engine Setup</w:t>
            </w:r>
          </w:p>
        </w:tc>
        <w:tc>
          <w:tcPr>
            <w:tcW w:type="dxa" w:w="3135"/>
            <w:shd w:fill="D5F5E3"/>
          </w:tcPr>
          <w:p>
            <w:r>
              <w:rPr>
                <w:b/>
                <w:color w:val="27AE60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color w:val="666666"/>
                <w:sz w:val="20"/>
              </w:rPr>
              <w:t>140 DRL rules implemented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Plugin Framework</w:t>
            </w:r>
          </w:p>
        </w:tc>
        <w:tc>
          <w:tcPr>
            <w:tcW w:type="dxa" w:w="3135"/>
            <w:shd w:fill="D5F5E3"/>
          </w:tcPr>
          <w:p>
            <w:r>
              <w:rPr>
                <w:b/>
                <w:color w:val="27AE60"/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color w:val="666666"/>
                <w:sz w:val="20"/>
              </w:rPr>
              <w:t>130 plugins created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Core Services</w:t>
            </w:r>
          </w:p>
        </w:tc>
        <w:tc>
          <w:tcPr>
            <w:tcW w:type="dxa" w:w="3135"/>
            <w:shd w:fill="FEF9E7"/>
          </w:tcPr>
          <w:p>
            <w:r>
              <w:rPr>
                <w:b/>
                <w:color w:val="E67E22"/>
                <w:sz w:val="20"/>
              </w:rPr>
              <w:t>In Progress</w:t>
            </w:r>
          </w:p>
        </w:tc>
        <w:tc>
          <w:tcPr>
            <w:tcW w:type="dxa" w:w="3135"/>
          </w:tcPr>
          <w:p>
            <w:r>
              <w:rPr>
                <w:color w:val="666666"/>
                <w:sz w:val="20"/>
              </w:rPr>
              <w:t>80% complete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Integration Testing</w:t>
            </w:r>
          </w:p>
        </w:tc>
        <w:tc>
          <w:tcPr>
            <w:tcW w:type="dxa" w:w="3135"/>
            <w:shd w:fill="D6E4F0"/>
          </w:tcPr>
          <w:p>
            <w:r>
              <w:rPr>
                <w:b/>
                <w:color w:val="2E75B6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color w:val="666666"/>
                <w:sz w:val="20"/>
              </w:rPr>
              <w:t>Karate E2E tests ready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rPr>
                <w:color w:val="666666"/>
                <w:sz w:val="18"/>
              </w:rPr>
              <w:t>© 2024 Maersk | PO Modernization Project | Confidential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C7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C7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