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32"/>
                <w:szCs w:val="32"/>
              </w:rPr>
              <w:t xml:space="preserve">Plum OPS Platform</w:t>
            </w:r>
          </w:p>
          <w:p>
            <w:pPr>
              <w:spacing w:after="0" w:before="0"/>
              <w:jc w:val="left"/>
            </w:pPr>
            <w:r>
              <w:rPr>
                <w:rFonts w:ascii="Arial" w:cs="Arial" w:eastAsia="Arial" w:hAnsi="Arial"/>
                <w:color w:val="C4B5FD"/>
                <w:sz w:val="22"/>
                <w:szCs w:val="22"/>
              </w:rPr>
              <w:t xml:space="preserve">Architecture &amp; System Design Document</w:t>
            </w:r>
          </w:p>
          <w:p>
            <w:pPr>
              <w:spacing w:after="0" w:before="0"/>
              <w:jc w:val="left"/>
            </w:pPr>
            <w:r>
              <w:rPr>
                <w:rFonts w:ascii="Arial" w:cs="Arial" w:eastAsia="Arial" w:hAnsi="Arial"/>
                <w:i/>
                <w:iCs/>
                <w:color w:val="A78BFA"/>
                <w:sz w:val="17"/>
                <w:szCs w:val="17"/>
              </w:rPr>
              <w:t xml:space="preserve">Intelligent Claims Processing | Multi-Agent Pipeline | IDP with Gemini + PaddleOCR + Tesseract + Azure Form Recognizer</w:t>
            </w:r>
          </w:p>
        </w:tc>
      </w:tr>
    </w:tbl>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0" w:before="0"/>
              <w:jc w:val="left"/>
            </w:pPr>
            <w:r>
              <w:rPr>
                <w:rFonts w:ascii="Arial" w:cs="Arial" w:eastAsia="Arial" w:hAnsi="Arial"/>
                <w:color w:val="5C6D92"/>
                <w:sz w:val="17"/>
                <w:szCs w:val="17"/>
              </w:rPr>
              <w:t xml:space="preserve">Prepared for</w:t>
            </w:r>
          </w:p>
          <w:p>
            <w:pPr>
              <w:spacing w:after="0" w:before="0"/>
              <w:jc w:val="left"/>
            </w:pPr>
            <w:r>
              <w:rPr>
                <w:rFonts w:ascii="Arial" w:cs="Arial" w:eastAsia="Arial" w:hAnsi="Arial"/>
                <w:b/>
                <w:bCs/>
                <w:color w:val="0E1B45"/>
                <w:sz w:val="20"/>
                <w:szCs w:val="20"/>
              </w:rPr>
              <w:t xml:space="preserve">Plum Insurance — AI Engineer Assignment</w:t>
            </w:r>
          </w:p>
          <w:p>
            <w:pPr>
              <w:spacing w:after="80" w:before="0"/>
            </w:pPr>
            <w:r>
              <w:rPr>
                <w:rFonts w:ascii="Arial" w:cs="Arial" w:eastAsia="Arial" w:hAnsi="Arial"/>
                <w:sz w:val="20"/>
                <w:szCs w:val="20"/>
              </w:rPr>
              <w:t xml:space="preserve"/>
            </w:r>
          </w:p>
          <w:p>
            <w:pPr>
              <w:spacing w:after="0" w:before="0"/>
              <w:jc w:val="left"/>
            </w:pPr>
            <w:r>
              <w:rPr>
                <w:rFonts w:ascii="Arial" w:cs="Arial" w:eastAsia="Arial" w:hAnsi="Arial"/>
                <w:color w:val="5C6D92"/>
                <w:sz w:val="17"/>
                <w:szCs w:val="17"/>
              </w:rPr>
              <w:t xml:space="preserve">Document Version</w:t>
            </w:r>
          </w:p>
          <w:p>
            <w:pPr>
              <w:spacing w:after="0" w:before="0"/>
              <w:jc w:val="left"/>
            </w:pPr>
            <w:r>
              <w:rPr>
                <w:rFonts w:ascii="Arial" w:cs="Arial" w:eastAsia="Arial" w:hAnsi="Arial"/>
                <w:color w:val="0E1B45"/>
                <w:sz w:val="20"/>
                <w:szCs w:val="20"/>
              </w:rPr>
              <w:t xml:space="preserve">v1.0  |  Final Submission</w:t>
            </w:r>
          </w:p>
        </w:tc>
        <w:tc>
          <w:tcPr>
            <w:tcW w:type="dxa" w:w="468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0" w:before="0"/>
              <w:jc w:val="left"/>
            </w:pPr>
            <w:r>
              <w:rPr>
                <w:rFonts w:ascii="Arial" w:cs="Arial" w:eastAsia="Arial" w:hAnsi="Arial"/>
                <w:color w:val="5C6D92"/>
                <w:sz w:val="17"/>
                <w:szCs w:val="17"/>
              </w:rPr>
              <w:t xml:space="preserve">System</w:t>
            </w:r>
          </w:p>
          <w:p>
            <w:pPr>
              <w:spacing w:after="0" w:before="0"/>
              <w:jc w:val="left"/>
            </w:pPr>
            <w:r>
              <w:rPr>
                <w:rFonts w:ascii="Arial" w:cs="Arial" w:eastAsia="Arial" w:hAnsi="Arial"/>
                <w:b/>
                <w:bCs/>
                <w:color w:val="0E1B45"/>
                <w:sz w:val="20"/>
                <w:szCs w:val="20"/>
              </w:rPr>
              <w:t xml:space="preserve">Health Insurance Claims Processing Pipeline</w:t>
            </w:r>
          </w:p>
          <w:p>
            <w:pPr>
              <w:spacing w:after="80" w:before="0"/>
            </w:pPr>
            <w:r>
              <w:rPr>
                <w:rFonts w:ascii="Arial" w:cs="Arial" w:eastAsia="Arial" w:hAnsi="Arial"/>
                <w:sz w:val="20"/>
                <w:szCs w:val="20"/>
              </w:rPr>
              <w:t xml:space="preserve"/>
            </w:r>
          </w:p>
          <w:p>
            <w:pPr>
              <w:spacing w:after="0" w:before="0"/>
              <w:jc w:val="left"/>
            </w:pPr>
            <w:r>
              <w:rPr>
                <w:rFonts w:ascii="Arial" w:cs="Arial" w:eastAsia="Arial" w:hAnsi="Arial"/>
                <w:color w:val="5C6D92"/>
                <w:sz w:val="17"/>
                <w:szCs w:val="17"/>
              </w:rPr>
              <w:t xml:space="preserve">Architecture Pattern</w:t>
            </w:r>
          </w:p>
          <w:p>
            <w:pPr>
              <w:spacing w:after="0" w:before="0"/>
              <w:jc w:val="left"/>
            </w:pPr>
            <w:r>
              <w:rPr>
                <w:rFonts w:ascii="Arial" w:cs="Arial" w:eastAsia="Arial" w:hAnsi="Arial"/>
                <w:color w:val="0E1B45"/>
                <w:sz w:val="20"/>
                <w:szCs w:val="20"/>
              </w:rPr>
              <w:t xml:space="preserve">Multi-Agent  |  IDP  |  HITL  |  Rule Engine</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1. Executive Summary</w:t>
      </w:r>
    </w:p>
    <w:p>
      <w:pPr>
        <w:spacing w:after="100" w:before="60"/>
      </w:pPr>
      <w:r>
        <w:rPr>
          <w:rFonts w:ascii="Arial" w:cs="Arial" w:eastAsia="Arial" w:hAnsi="Arial"/>
          <w:color w:val="1E3065"/>
          <w:sz w:val="20"/>
          <w:szCs w:val="20"/>
        </w:rPr>
        <w:t xml:space="preserve">Plum OPS is a fully automated, multi-agent health insurance claims processing platform designed to replace the slow, inconsistent, and un-auditable manual review cycle. The system ingests medical documents (prescriptions, hospital bills, lab reports, pharmacy bills), extracts structured data using an Intelligent Document Processing (IDP) layer, evaluates every claim through five sequential agents, and produces an explainable decision — APPROVED, PARTIAL, REJECTED, or MANUAL_REVIEW — together with a full audit trace and approved amount calculation.</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1B45" w:sz="1"/>
              <w:left w:val="single" w:color="0E1B45" w:sz="1"/>
              <w:bottom w:val="single" w:color="0E1B45" w:sz="1"/>
              <w:right w:val="single" w:color="0E1B45" w:sz="1"/>
            </w:tcBorders>
            <w:shd w:fill="EFF6FF" w:val="clear"/>
            <w:tcMar>
              <w:top w:type="dxa" w:w="80"/>
              <w:left w:type="dxa" w:w="120"/>
              <w:bottom w:type="dxa" w:w="80"/>
              <w:right w:type="dxa" w:w="120"/>
            </w:tcMar>
            <w:vAlign w:val="top"/>
          </w:tcPr>
          <w:p>
            <w:pPr>
              <w:spacing w:after="0" w:before="0"/>
              <w:jc w:val="left"/>
            </w:pPr>
            <w:r>
              <w:rPr>
                <w:rFonts w:ascii="Arial" w:cs="Arial" w:eastAsia="Arial" w:hAnsi="Arial"/>
                <w:b/>
                <w:bCs/>
                <w:color w:val="0E1B45"/>
                <w:sz w:val="19"/>
                <w:szCs w:val="19"/>
              </w:rPr>
              <w:t xml:space="preserve">Key Design Principles</w:t>
            </w:r>
          </w:p>
          <w:p>
            <w:pPr>
              <w:spacing w:after="100" w:before="60"/>
            </w:pPr>
            <w:r>
              <w:rPr>
                <w:rFonts w:ascii="Arial" w:cs="Arial" w:eastAsia="Arial" w:hAnsi="Arial"/>
                <w:color w:val="1E3065"/>
                <w:sz w:val="20"/>
                <w:szCs w:val="20"/>
              </w:rPr>
              <w:t xml:space="preserve">• Explainability First — every decision comes with a reason card that names the exact rule, document field, or amount that drove the outcome.</w:t>
            </w:r>
          </w:p>
          <w:p>
            <w:pPr>
              <w:spacing w:after="100" w:before="60"/>
            </w:pPr>
            <w:r>
              <w:rPr>
                <w:rFonts w:ascii="Arial" w:cs="Arial" w:eastAsia="Arial" w:hAnsi="Arial"/>
                <w:color w:val="1E3065"/>
                <w:sz w:val="20"/>
                <w:szCs w:val="20"/>
              </w:rPr>
              <w:t xml:space="preserve">• Fail-Safe Degradation — individual component failures reduce the confidence score but never crash the pipeline.</w:t>
            </w:r>
          </w:p>
          <w:p>
            <w:pPr>
              <w:spacing w:after="100" w:before="60"/>
            </w:pPr>
            <w:r>
              <w:rPr>
                <w:rFonts w:ascii="Arial" w:cs="Arial" w:eastAsia="Arial" w:hAnsi="Arial"/>
                <w:color w:val="1E3065"/>
                <w:sz w:val="20"/>
                <w:szCs w:val="20"/>
              </w:rPr>
              <w:t xml:space="preserve">• IDP Over Hard-Coding — document field extraction is handled by a combination of Gemini Flash (vision LLM), PaddleOCR / Tesseract (OCR engines), and optionally Azure Form Recognizer for production-grade structured extraction.</w:t>
            </w:r>
          </w:p>
          <w:p>
            <w:pPr>
              <w:spacing w:after="100" w:before="60"/>
            </w:pPr>
            <w:r>
              <w:rPr>
                <w:rFonts w:ascii="Arial" w:cs="Arial" w:eastAsia="Arial" w:hAnsi="Arial"/>
                <w:color w:val="1E3065"/>
                <w:sz w:val="20"/>
                <w:szCs w:val="20"/>
              </w:rPr>
              <w:t xml:space="preserve">• Policy-Driven Logic — all coverage rules, waiting periods, sub-limits, co-pay percentages, and exclusions are read from policy_terms.json at runtime. Nothing is hardcoded.</w:t>
            </w:r>
          </w:p>
          <w:p>
            <w:pPr>
              <w:spacing w:after="100" w:before="60"/>
            </w:pPr>
            <w:r>
              <w:rPr>
                <w:rFonts w:ascii="Arial" w:cs="Arial" w:eastAsia="Arial" w:hAnsi="Arial"/>
                <w:color w:val="1E3065"/>
                <w:sz w:val="20"/>
                <w:szCs w:val="20"/>
              </w:rPr>
              <w:t xml:space="preserve">• Human-in-the-Loop (HITL) checkpoints are embedded at every agent stage so Ops can review, correct, or route exceptions without re-running the entire pipeline.</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2. Problem Statement &amp;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Manual Step</w:t>
            </w:r>
          </w:p>
        </w:tc>
        <w:tc>
          <w:tcPr>
            <w:tcW w:type="dxa" w:w="67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Pain Point &amp; Automation Opportunity</w:t>
            </w:r>
          </w:p>
        </w:tc>
      </w:tr>
      <w:tr>
        <w:tc>
          <w:tcPr>
            <w:tcW w:type="dxa" w:w="26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Document collection &amp; sorting</w:t>
            </w:r>
          </w:p>
        </w:tc>
        <w:tc>
          <w:tcPr>
            <w:tcW w:type="dxa" w:w="67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Files arrive over email, portal, and WhatsApp. Missing documents are discovered only after full review. Automation: ingest agent validates document set completeness before any processing begins.</w:t>
            </w:r>
          </w:p>
        </w:tc>
      </w:tr>
      <w:tr>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Reading prescriptions and bills</w:t>
            </w:r>
          </w:p>
        </w:tc>
        <w:tc>
          <w:tcPr>
            <w:tcW w:type="dxa" w:w="67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Blurry photos, handwritten Rx, rubber-stamped text, and multi-language content slow extraction. Automation: IDP layer with vision LLM + OCR extracts fields with confidence scores.</w:t>
            </w:r>
          </w:p>
        </w:tc>
      </w:tr>
      <w:tr>
        <w:tc>
          <w:tcPr>
            <w:tcW w:type="dxa" w:w="26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Eligibility &amp; policy lookup</w:t>
            </w:r>
          </w:p>
        </w:tc>
        <w:tc>
          <w:tcPr>
            <w:tcW w:type="dxa" w:w="67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Ops manually checks waiting periods, sub-limits, exclusions, and co-pay rules across multiple systems. Automation: policy engine evaluates all rules from a single JSON config in milliseconds.</w:t>
            </w:r>
          </w:p>
        </w:tc>
      </w:tr>
      <w:tr>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Fraud &amp; integrity review</w:t>
            </w:r>
          </w:p>
        </w:tc>
        <w:tc>
          <w:tcPr>
            <w:tcW w:type="dxa" w:w="67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Risk signals depend on individual reviewer experience and are inconsistently documented. Automation: risk agent applies repeatable threshold checks and emits evidence-backed reason cards.</w:t>
            </w:r>
          </w:p>
        </w:tc>
      </w:tr>
      <w:tr>
        <w:tc>
          <w:tcPr>
            <w:tcW w:type="dxa" w:w="26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Settlement calculation</w:t>
            </w:r>
          </w:p>
        </w:tc>
        <w:tc>
          <w:tcPr>
            <w:tcW w:type="dxa" w:w="67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Co-pay, network discounts, and partial approval math varies between reviewers. Automation: adjudication agent calculates amounts deterministically with step-by-step breakdown.</w:t>
            </w:r>
          </w:p>
        </w:tc>
      </w:tr>
      <w:tr>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Member communication</w:t>
            </w:r>
          </w:p>
        </w:tc>
        <w:tc>
          <w:tcPr>
            <w:tcW w:type="dxa" w:w="67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Members receive vague, delayed messages with no specific guidance. Automation: all error messages name the exact document type, rule, and action required.</w:t>
            </w:r>
          </w:p>
        </w:tc>
      </w:tr>
      <w:tr>
        <w:tc>
          <w:tcPr>
            <w:tcW w:type="dxa" w:w="26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Audit &amp; traceability</w:t>
            </w:r>
          </w:p>
        </w:tc>
        <w:tc>
          <w:tcPr>
            <w:tcW w:type="dxa" w:w="67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Reconstructing why a claim was approved or rejected is nearly impossible retroactively. Automation: every agent stage stores a reason card, extracted fields, and a confidence score in the audit trail.</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3. System Landscape</w:t>
      </w:r>
    </w:p>
    <w:p>
      <w:pPr>
        <w:spacing w:after="100" w:before="60"/>
      </w:pPr>
      <w:r>
        <w:rPr>
          <w:rFonts w:ascii="Arial" w:cs="Arial" w:eastAsia="Arial" w:hAnsi="Arial"/>
          <w:color w:val="1E3065"/>
          <w:sz w:val="20"/>
          <w:szCs w:val="20"/>
        </w:rPr>
        <w:t xml:space="preserve">The platform is structured around five interconnected systems. The Plum OPS Console is the operational core where the agent pipeline runs. External systems are updated via a synchronization layer after each significant state change.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1800"/>
        <w:gridCol w:w="2420"/>
      </w:tblGrid>
      <w:tr>
        <w:tc>
          <w:tcPr>
            <w:tcW w:type="dxa" w:w="234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System</w:t>
            </w:r>
          </w:p>
        </w:tc>
        <w:tc>
          <w:tcPr>
            <w:tcW w:type="dxa" w:w="28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Role</w:t>
            </w:r>
          </w:p>
        </w:tc>
        <w:tc>
          <w:tcPr>
            <w:tcW w:type="dxa" w:w="18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Primary Users</w:t>
            </w:r>
          </w:p>
        </w:tc>
        <w:tc>
          <w:tcPr>
            <w:tcW w:type="dxa" w:w="242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Sync Direction</w:t>
            </w:r>
          </w:p>
        </w:tc>
      </w:tr>
      <w:tr>
        <w:tc>
          <w:tcPr>
            <w:tcW w:type="dxa" w:w="234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Claims System</w:t>
            </w:r>
          </w:p>
        </w:tc>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Stores claim records, status history, stage outcomes, reason codes, and settlement amounts.</w:t>
            </w:r>
          </w:p>
        </w:tc>
        <w:tc>
          <w:tcPr>
            <w:tcW w:type="dxa" w:w="1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Ops, Claims Reviewers, Finance</w:t>
            </w:r>
          </w:p>
        </w:tc>
        <w:tc>
          <w:tcPr>
            <w:tcW w:type="dxa" w:w="242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Read at intake; Write after each agent stage</w:t>
            </w:r>
          </w:p>
        </w:tc>
      </w:tr>
      <w:tr>
        <w:tc>
          <w:tcPr>
            <w:tcW w:type="dxa" w:w="234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Enrollment System</w:t>
            </w:r>
          </w:p>
        </w:tc>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Maintains policy config, member eligibility, join dates, dependent relationships, and coverage context.</w:t>
            </w:r>
          </w:p>
        </w:tc>
        <w:tc>
          <w:tcPr>
            <w:tcW w:type="dxa" w:w="1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Enrollment Admins, Ops</w:t>
            </w:r>
          </w:p>
        </w:tc>
        <w:tc>
          <w:tcPr>
            <w:tcW w:type="dxa" w:w="242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Read at policy engine; Write on status change</w:t>
            </w:r>
          </w:p>
        </w:tc>
      </w:tr>
      <w:tr>
        <w:tc>
          <w:tcPr>
            <w:tcW w:type="dxa" w:w="234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Membership Portal</w:t>
            </w:r>
          </w:p>
        </w:tc>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Member-facing view of claim status, resubmission requests, and settlement notifications.</w:t>
            </w:r>
          </w:p>
        </w:tc>
        <w:tc>
          <w:tcPr>
            <w:tcW w:type="dxa" w:w="1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Members</w:t>
            </w:r>
          </w:p>
        </w:tc>
        <w:tc>
          <w:tcPr>
            <w:tcW w:type="dxa" w:w="242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Write after every decision or HITL action</w:t>
            </w:r>
          </w:p>
        </w:tc>
      </w:tr>
      <w:tr>
        <w:tc>
          <w:tcPr>
            <w:tcW w:type="dxa" w:w="234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Plum OPS Console</w:t>
            </w:r>
          </w:p>
        </w:tc>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Runs the five-agent pipeline, HITL review controls, audit trail viewer, and policy configuration.</w:t>
            </w:r>
          </w:p>
        </w:tc>
        <w:tc>
          <w:tcPr>
            <w:tcW w:type="dxa" w:w="1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Ops Team, Claims Adjudicators</w:t>
            </w:r>
          </w:p>
        </w:tc>
        <w:tc>
          <w:tcPr>
            <w:tcW w:type="dxa" w:w="242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Internal — orchestrates all agents</w:t>
            </w:r>
          </w:p>
        </w:tc>
      </w:tr>
      <w:tr>
        <w:tc>
          <w:tcPr>
            <w:tcW w:type="dxa" w:w="234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IDP Layer</w:t>
            </w:r>
          </w:p>
        </w:tc>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Extracts structured fields from uploaded documents via Gemini Flash LLM, PaddleOCR, Tesseract, and Azure Form Recognizer.</w:t>
            </w:r>
          </w:p>
        </w:tc>
        <w:tc>
          <w:tcPr>
            <w:tcW w:type="dxa" w:w="1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Internal / Automated</w:t>
            </w:r>
          </w:p>
        </w:tc>
        <w:tc>
          <w:tcPr>
            <w:tcW w:type="dxa" w:w="242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Called by Extraction Agent; results stored in Claims System</w:t>
            </w:r>
          </w:p>
        </w:tc>
      </w:tr>
      <w:tr>
        <w:tc>
          <w:tcPr>
            <w:tcW w:type="dxa" w:w="234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Fraud Intelligence DB</w:t>
            </w:r>
          </w:p>
        </w:tc>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Stores claim history per member for same-day count, monthly count, and pattern detection.</w:t>
            </w:r>
          </w:p>
        </w:tc>
        <w:tc>
          <w:tcPr>
            <w:tcW w:type="dxa" w:w="1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Internal / Automated</w:t>
            </w:r>
          </w:p>
        </w:tc>
        <w:tc>
          <w:tcPr>
            <w:tcW w:type="dxa" w:w="242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Read and write by Risk &amp; Integrity Agent</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4. Intelligent Document Processing (IDP) Layer</w:t>
      </w:r>
    </w:p>
    <w:p>
      <w:pPr>
        <w:spacing w:after="100" w:before="60"/>
      </w:pPr>
      <w:r>
        <w:rPr>
          <w:rFonts w:ascii="Arial" w:cs="Arial" w:eastAsia="Arial" w:hAnsi="Arial"/>
          <w:color w:val="1E3065"/>
          <w:sz w:val="20"/>
          <w:szCs w:val="20"/>
        </w:rPr>
        <w:t xml:space="preserve">The IDP layer is the most critical infrastructure decision in the system. Real-world Indian medical documents arrive as phone photos, scanned PDFs, rubber-stamped forms, and handwritten prescriptions. A single OCR tool is insufficient. The design uses a tiered strategy:</w:t>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1E3065"/>
          <w:sz w:val="26"/>
          <w:szCs w:val="26"/>
        </w:rPr>
        <w:t xml:space="preserve">4.1 IDP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Tool / Engine</w:t>
            </w:r>
          </w:p>
        </w:tc>
        <w:tc>
          <w:tcPr>
            <w:tcW w:type="dxa" w:w="71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Role &amp; Rationale</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(Vision LLM — Primary)</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Handles the widest range of document variability. Given the raw image or PDF page, Gemini Flash extracts all relevant fields in a single structured JSON prompt. It handles handwriting, regional language fragments, shorthand diagnoses (HTN → Hypertension), rubber-stamped text, and partial documents without pre-processing. This is the first-pass extraction engine for all document types. Free tier available; ideal for assignment scope.</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PaddleOCR (Open-Source OCR — Secondary)</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When Gemini confidence is below threshold on specific fields, PaddleOCR runs a targeted OCR pass. PaddleOCR handles multilingual text (Hindi, Tamil, Telugu) and is robust on low-contrast or skewed images. It is especially effective for numeric fields: bill totals, batch numbers, registration numbers.</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Tesseract OCR (Open-Source OCR — Fallback)</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Tesseract serves as the tertiary fallback for clean, printed documents and for structured table extraction from diagnostic reports. It runs after PaddleOCR if field-level confidence is still below threshold.</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Azure Form Recognizer / Document Intelligence (Enterprise Option)</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For production deployments, Azure Form Recognizer provides pre-built models for invoices, receipts, and prescriptions. It extracts key-value pairs, line items, and table structures with high accuracy on printed documents. The system design includes an adapter interface so the Azure model can be swapped in for any document type without changing the rest of the pipeline.</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Confidence Scoring &amp; Field Merging</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Each engine returns a field-level confidence score. The orchestrator selects the highest-confidence value per field, flags any field below 0.65 as LOW_CONFIDENCE, and marks the overall document quality. If a required field cannot be extracted with confidence above 0.50, the document is flagged as UNREADABLE for that field and Ops is notified.</w:t>
            </w:r>
          </w:p>
        </w:tc>
      </w:tr>
    </w:tbl>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1E3065"/>
          <w:sz w:val="26"/>
          <w:szCs w:val="26"/>
        </w:rPr>
        <w:t xml:space="preserve">4.2 Document Type Routing</w:t>
      </w:r>
    </w:p>
    <w:p>
      <w:pPr>
        <w:spacing w:after="100" w:before="60"/>
      </w:pPr>
      <w:r>
        <w:rPr>
          <w:rFonts w:ascii="Arial" w:cs="Arial" w:eastAsia="Arial" w:hAnsi="Arial"/>
          <w:color w:val="1E3065"/>
          <w:sz w:val="20"/>
          <w:szCs w:val="20"/>
        </w:rPr>
        <w:t xml:space="preserve">Each document type has a different extraction profile. The IDP orchestrator routes documents to the appropriate extraction prompt based on the classified document type: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Document Type</w:t>
            </w:r>
          </w:p>
        </w:tc>
        <w:tc>
          <w:tcPr>
            <w:tcW w:type="dxa" w:w="25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Primary IDP Engine</w:t>
            </w:r>
          </w:p>
        </w:tc>
        <w:tc>
          <w:tcPr>
            <w:tcW w:type="dxa" w:w="48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Key Fields Extracted</w:t>
            </w:r>
          </w:p>
        </w:tc>
      </w:tr>
      <w:tr>
        <w:tc>
          <w:tcPr>
            <w:tcW w:type="dxa" w:w="20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Medical Prescription (Rx)</w:t>
            </w:r>
          </w:p>
        </w:tc>
        <w:tc>
          <w:tcPr>
            <w:tcW w:type="dxa" w:w="25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(vision)</w:t>
            </w:r>
          </w:p>
        </w:tc>
        <w:tc>
          <w:tcPr>
            <w:tcW w:type="dxa" w:w="48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Doctor name, registration number (state format: KA/XXXXX/YYYY), specialization, patient name, date, diagnosis (incl. shorthand expansion), medicines with dosage &amp; duration, tests ordered, clinic name</w:t>
            </w:r>
          </w:p>
        </w:tc>
      </w:tr>
      <w:tr>
        <w:tc>
          <w:tcPr>
            <w:tcW w:type="dxa" w:w="20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Hospital Bill / Clinic Invoice</w:t>
            </w:r>
          </w:p>
        </w:tc>
        <w:tc>
          <w:tcPr>
            <w:tcW w:type="dxa" w:w="25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 Azure Form Recognizer</w:t>
            </w:r>
          </w:p>
        </w:tc>
        <w:tc>
          <w:tcPr>
            <w:tcW w:type="dxa" w:w="48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Hospital name, GSTIN (if present), bill number, date, patient name, itemized line items with descriptions and amounts, GST amount, total, payment mode</w:t>
            </w:r>
          </w:p>
        </w:tc>
      </w:tr>
      <w:tr>
        <w:tc>
          <w:tcPr>
            <w:tcW w:type="dxa" w:w="20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Diagnostic / Lab Report</w:t>
            </w:r>
          </w:p>
        </w:tc>
        <w:tc>
          <w:tcPr>
            <w:tcW w:type="dxa" w:w="25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 Tesseract (table rows)</w:t>
            </w:r>
          </w:p>
        </w:tc>
        <w:tc>
          <w:tcPr>
            <w:tcW w:type="dxa" w:w="48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Lab name, NABL status, patient name, referring doctor, sample date, report date, each test name / result / unit / normal range, pathologist name, remarks</w:t>
            </w:r>
          </w:p>
        </w:tc>
      </w:tr>
      <w:tr>
        <w:tc>
          <w:tcPr>
            <w:tcW w:type="dxa" w:w="20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Pharmacy Bill</w:t>
            </w:r>
          </w:p>
        </w:tc>
        <w:tc>
          <w:tcPr>
            <w:tcW w:type="dxa" w:w="25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 PaddleOCR (numerics)</w:t>
            </w:r>
          </w:p>
        </w:tc>
        <w:tc>
          <w:tcPr>
            <w:tcW w:type="dxa" w:w="48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Pharmacy name, drug license number, bill number, date, patient name, prescribing doctor, each medicine with batch number, expiry, quantity, MRP, amount, discount, net total</w:t>
            </w:r>
          </w:p>
        </w:tc>
      </w:tr>
      <w:tr>
        <w:tc>
          <w:tcPr>
            <w:tcW w:type="dxa" w:w="20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Discharge Summary</w:t>
            </w:r>
          </w:p>
        </w:tc>
        <w:tc>
          <w:tcPr>
            <w:tcW w:type="dxa" w:w="25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(vision)</w:t>
            </w:r>
          </w:p>
        </w:tc>
        <w:tc>
          <w:tcPr>
            <w:tcW w:type="dxa" w:w="48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Admission/discharge dates, primary and secondary diagnoses, treating doctor, procedures performed, discharge condition</w:t>
            </w:r>
          </w:p>
        </w:tc>
      </w:tr>
    </w:tbl>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1E3065"/>
          <w:sz w:val="26"/>
          <w:szCs w:val="26"/>
        </w:rPr>
        <w:t xml:space="preserve">4.3 Handling Document Variability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Variation</w:t>
            </w:r>
          </w:p>
        </w:tc>
        <w:tc>
          <w:tcPr>
            <w:tcW w:type="dxa" w:w="20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Description</w:t>
            </w:r>
          </w:p>
        </w:tc>
        <w:tc>
          <w:tcPr>
            <w:tcW w:type="dxa" w:w="30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IDP Strategy</w:t>
            </w:r>
          </w:p>
        </w:tc>
        <w:tc>
          <w:tcPr>
            <w:tcW w:type="dxa" w:w="25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Output Flag</w:t>
            </w:r>
          </w:p>
        </w:tc>
      </w:tr>
      <w:tr>
        <w:tc>
          <w:tcPr>
            <w:tcW w:type="dxa" w:w="1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Handwritten prescription</w:t>
            </w:r>
          </w:p>
        </w:tc>
        <w:tc>
          <w:tcPr>
            <w:tcW w:type="dxa" w:w="20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Fully or partially handwritten Rx — very common in India</w:t>
            </w:r>
          </w:p>
        </w:tc>
        <w:tc>
          <w:tcPr>
            <w:tcW w:type="dxa" w:w="30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vision with OCR-first prompt; PaddleOCR for specific fields</w:t>
            </w:r>
          </w:p>
        </w:tc>
        <w:tc>
          <w:tcPr>
            <w:tcW w:type="dxa" w:w="2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LOW_CONFIDENCE on illegible words</w:t>
            </w:r>
          </w:p>
        </w:tc>
      </w:tr>
      <w:tr>
        <w:tc>
          <w:tcPr>
            <w:tcW w:type="dxa" w:w="1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Phone photo of bill</w:t>
            </w:r>
          </w:p>
        </w:tc>
        <w:tc>
          <w:tcPr>
            <w:tcW w:type="dxa" w:w="20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Skewed, low contrast, partial shadows</w:t>
            </w:r>
          </w:p>
        </w:tc>
        <w:tc>
          <w:tcPr>
            <w:tcW w:type="dxa" w:w="30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handles pre-processing internally; PaddleOCR for number fields</w:t>
            </w:r>
          </w:p>
        </w:tc>
        <w:tc>
          <w:tcPr>
            <w:tcW w:type="dxa" w:w="2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IMAGE_QUALITY_WARN</w:t>
            </w:r>
          </w:p>
        </w:tc>
      </w:tr>
      <w:tr>
        <w:tc>
          <w:tcPr>
            <w:tcW w:type="dxa" w:w="1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Rubber stamp over text</w:t>
            </w:r>
          </w:p>
        </w:tc>
        <w:tc>
          <w:tcPr>
            <w:tcW w:type="dxa" w:w="20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Registration number or amounts partially obscured</w:t>
            </w:r>
          </w:p>
        </w:tc>
        <w:tc>
          <w:tcPr>
            <w:tcW w:type="dxa" w:w="30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Flag specific field as LOW_CONFIDENCE; do not fail entire document</w:t>
            </w:r>
          </w:p>
        </w:tc>
        <w:tc>
          <w:tcPr>
            <w:tcW w:type="dxa" w:w="2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FIELD_OBSCURED</w:t>
            </w:r>
          </w:p>
        </w:tc>
      </w:tr>
      <w:tr>
        <w:tc>
          <w:tcPr>
            <w:tcW w:type="dxa" w:w="1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Multilingual document</w:t>
            </w:r>
          </w:p>
        </w:tc>
        <w:tc>
          <w:tcPr>
            <w:tcW w:type="dxa" w:w="20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Hindi/Tamil/Telugu mixed with English</w:t>
            </w:r>
          </w:p>
        </w:tc>
        <w:tc>
          <w:tcPr>
            <w:tcW w:type="dxa" w:w="30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handles multilingual; PaddleOCR for regional scripts</w:t>
            </w:r>
          </w:p>
        </w:tc>
        <w:tc>
          <w:tcPr>
            <w:tcW w:type="dxa" w:w="2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REGIONAL_LANGUAGE_DETECTED</w:t>
            </w:r>
          </w:p>
        </w:tc>
      </w:tr>
      <w:tr>
        <w:tc>
          <w:tcPr>
            <w:tcW w:type="dxa" w:w="1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Partial document</w:t>
            </w:r>
          </w:p>
        </w:tc>
        <w:tc>
          <w:tcPr>
            <w:tcW w:type="dxa" w:w="20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Page cut off or folded edges</w:t>
            </w:r>
          </w:p>
        </w:tc>
        <w:tc>
          <w:tcPr>
            <w:tcW w:type="dxa" w:w="30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Extract available fields; explicitly flag missing fields</w:t>
            </w:r>
          </w:p>
        </w:tc>
        <w:tc>
          <w:tcPr>
            <w:tcW w:type="dxa" w:w="2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PARTIAL_DOCUMENT</w:t>
            </w:r>
          </w:p>
        </w:tc>
      </w:tr>
      <w:tr>
        <w:tc>
          <w:tcPr>
            <w:tcW w:type="dxa" w:w="1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Multiple corrections</w:t>
            </w:r>
          </w:p>
        </w:tc>
        <w:tc>
          <w:tcPr>
            <w:tcW w:type="dxa" w:w="20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Amounts crossed out and rewritten</w:t>
            </w:r>
          </w:p>
        </w:tc>
        <w:tc>
          <w:tcPr>
            <w:tcW w:type="dxa" w:w="30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Flag as DOCUMENT_ALTERATION; surface to fraud detection agent</w:t>
            </w:r>
          </w:p>
        </w:tc>
        <w:tc>
          <w:tcPr>
            <w:tcW w:type="dxa" w:w="2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DOCUMENT_ALTERATION</w:t>
            </w:r>
          </w:p>
        </w:tc>
      </w:tr>
      <w:tr>
        <w:tc>
          <w:tcPr>
            <w:tcW w:type="dxa" w:w="1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Scanned multi-page PDF</w:t>
            </w:r>
          </w:p>
        </w:tc>
        <w:tc>
          <w:tcPr>
            <w:tcW w:type="dxa" w:w="20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4-5 page detailed bill</w:t>
            </w:r>
          </w:p>
        </w:tc>
        <w:tc>
          <w:tcPr>
            <w:tcW w:type="dxa" w:w="30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Process each page separately; aggregate line items</w:t>
            </w:r>
          </w:p>
        </w:tc>
        <w:tc>
          <w:tcPr>
            <w:tcW w:type="dxa" w:w="2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MULTI_PAGE_AGGREGATED</w:t>
            </w:r>
          </w:p>
        </w:tc>
      </w:tr>
      <w:tr>
        <w:tc>
          <w:tcPr>
            <w:tcW w:type="dxa" w:w="1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Medical shorthand</w:t>
            </w:r>
          </w:p>
        </w:tc>
        <w:tc>
          <w:tcPr>
            <w:tcW w:type="dxa" w:w="20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HTN, T2DM, URI, GERD etc.</w:t>
            </w:r>
          </w:p>
        </w:tc>
        <w:tc>
          <w:tcPr>
            <w:tcW w:type="dxa" w:w="30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expands shorthand in the structured output prompt</w:t>
            </w:r>
          </w:p>
        </w:tc>
        <w:tc>
          <w:tcPr>
            <w:tcW w:type="dxa" w:w="2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SHORTHAND_EXPANDED</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5. Five-Agent Pipeline Architecture</w:t>
      </w:r>
    </w:p>
    <w:p>
      <w:pPr>
        <w:spacing w:after="100" w:before="60"/>
      </w:pPr>
      <w:r>
        <w:rPr>
          <w:rFonts w:ascii="Arial" w:cs="Arial" w:eastAsia="Arial" w:hAnsi="Arial"/>
          <w:color w:val="1E3065"/>
          <w:sz w:val="20"/>
          <w:szCs w:val="20"/>
        </w:rPr>
        <w:t xml:space="preserve">The pipeline is a sequential, event-driven chain of five specialized agents. Each agent receives the claim context (including all prior agent outputs) and emits a structured result. Agents are independently testable and replaceable. If any non-critical agent fails, the pipeline continues with a degraded confidence score and the failure is recorded in the audit trace.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Stage</w:t>
            </w:r>
          </w:p>
        </w:tc>
        <w:tc>
          <w:tcPr>
            <w:tcW w:type="dxa" w:w="26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Agent / Component</w:t>
            </w:r>
          </w:p>
        </w:tc>
        <w:tc>
          <w:tcPr>
            <w:tcW w:type="dxa" w:w="26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Output</w:t>
            </w:r>
          </w:p>
        </w:tc>
        <w:tc>
          <w:tcPr>
            <w:tcW w:type="dxa" w:w="26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HITL Trigger</w:t>
            </w:r>
          </w:p>
        </w:tc>
      </w:tr>
      <w:tr>
        <w:tc>
          <w:tcPr>
            <w:tcW w:type="dxa" w:w="1560"/>
            <w:tcBorders>
              <w:top w:val="single" w:color="C8D0DE" w:sz="1"/>
              <w:left w:val="single" w:color="C8D0DE" w:sz="1"/>
              <w:bottom w:val="single" w:color="C8D0DE" w:sz="1"/>
              <w:right w:val="single" w:color="C8D0DE" w:sz="1"/>
            </w:tcBorders>
            <w:shd w:fill="EDE9FE" w:val="clear"/>
            <w:tcMar>
              <w:top w:type="dxa" w:w="80"/>
              <w:left w:type="dxa" w:w="120"/>
              <w:bottom w:type="dxa" w:w="80"/>
              <w:right w:type="dxa" w:w="120"/>
            </w:tcMar>
            <w:vAlign w:val="top"/>
          </w:tcPr>
          <w:p>
            <w:pPr>
              <w:spacing w:after="100" w:before="60"/>
            </w:pPr>
            <w:r>
              <w:rPr>
                <w:rFonts w:ascii="Arial" w:cs="Arial" w:eastAsia="Arial" w:hAnsi="Arial"/>
                <w:b/>
                <w:bCs/>
                <w:color w:val="1E3065"/>
                <w:sz w:val="20"/>
                <w:szCs w:val="20"/>
              </w:rPr>
              <w:t xml:space="preserve">Stage 0</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Claim Intake (API / UI)</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claim_id, member_id, documents[], claimed_amount, claim_type</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w:t>
            </w:r>
          </w:p>
        </w:tc>
      </w:tr>
      <w:tr>
        <w:tc>
          <w:tcPr>
            <w:tcW w:type="dxa" w:w="1560"/>
            <w:tcBorders>
              <w:top w:val="single" w:color="C8D0DE" w:sz="1"/>
              <w:left w:val="single" w:color="C8D0DE" w:sz="1"/>
              <w:bottom w:val="single" w:color="C8D0DE" w:sz="1"/>
              <w:right w:val="single" w:color="C8D0DE" w:sz="1"/>
            </w:tcBorders>
            <w:shd w:fill="EDE9FE" w:val="clear"/>
            <w:tcMar>
              <w:top w:type="dxa" w:w="80"/>
              <w:left w:type="dxa" w:w="120"/>
              <w:bottom w:type="dxa" w:w="80"/>
              <w:right w:type="dxa" w:w="120"/>
            </w:tcMar>
            <w:vAlign w:val="top"/>
          </w:tcPr>
          <w:p>
            <w:pPr>
              <w:spacing w:after="100" w:before="60"/>
            </w:pPr>
            <w:r>
              <w:rPr>
                <w:rFonts w:ascii="Arial" w:cs="Arial" w:eastAsia="Arial" w:hAnsi="Arial"/>
                <w:b/>
                <w:bCs/>
                <w:color w:val="1E3065"/>
                <w:sz w:val="20"/>
                <w:szCs w:val="20"/>
              </w:rPr>
              <w:t xml:space="preserve">Stage 1</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Ingest Agent</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Document completeness check, type classification, readability assessment, ingestion log</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Missing / wrong / unreadable document</w:t>
            </w:r>
          </w:p>
        </w:tc>
      </w:tr>
      <w:tr>
        <w:tc>
          <w:tcPr>
            <w:tcW w:type="dxa" w:w="1560"/>
            <w:tcBorders>
              <w:top w:val="single" w:color="C8D0DE" w:sz="1"/>
              <w:left w:val="single" w:color="C8D0DE" w:sz="1"/>
              <w:bottom w:val="single" w:color="C8D0DE" w:sz="1"/>
              <w:right w:val="single" w:color="C8D0DE" w:sz="1"/>
            </w:tcBorders>
            <w:shd w:fill="EDE9FE" w:val="clear"/>
            <w:tcMar>
              <w:top w:type="dxa" w:w="80"/>
              <w:left w:type="dxa" w:w="120"/>
              <w:bottom w:type="dxa" w:w="80"/>
              <w:right w:type="dxa" w:w="120"/>
            </w:tcMar>
            <w:vAlign w:val="top"/>
          </w:tcPr>
          <w:p>
            <w:pPr>
              <w:spacing w:after="100" w:before="60"/>
            </w:pPr>
            <w:r>
              <w:rPr>
                <w:rFonts w:ascii="Arial" w:cs="Arial" w:eastAsia="Arial" w:hAnsi="Arial"/>
                <w:b/>
                <w:bCs/>
                <w:color w:val="1E3065"/>
                <w:sz w:val="20"/>
                <w:szCs w:val="20"/>
              </w:rPr>
              <w:t xml:space="preserve">Stage 2</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Extraction Agent (IDP)</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Structured JSON fields from all documents, per-field confidence scores, patient cross-match</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Low confidence field, patient name mismatch</w:t>
            </w:r>
          </w:p>
        </w:tc>
      </w:tr>
      <w:tr>
        <w:tc>
          <w:tcPr>
            <w:tcW w:type="dxa" w:w="1560"/>
            <w:tcBorders>
              <w:top w:val="single" w:color="C8D0DE" w:sz="1"/>
              <w:left w:val="single" w:color="C8D0DE" w:sz="1"/>
              <w:bottom w:val="single" w:color="C8D0DE" w:sz="1"/>
              <w:right w:val="single" w:color="C8D0DE" w:sz="1"/>
            </w:tcBorders>
            <w:shd w:fill="EDE9FE" w:val="clear"/>
            <w:tcMar>
              <w:top w:type="dxa" w:w="80"/>
              <w:left w:type="dxa" w:w="120"/>
              <w:bottom w:type="dxa" w:w="80"/>
              <w:right w:type="dxa" w:w="120"/>
            </w:tcMar>
            <w:vAlign w:val="top"/>
          </w:tcPr>
          <w:p>
            <w:pPr>
              <w:spacing w:after="100" w:before="60"/>
            </w:pPr>
            <w:r>
              <w:rPr>
                <w:rFonts w:ascii="Arial" w:cs="Arial" w:eastAsia="Arial" w:hAnsi="Arial"/>
                <w:b/>
                <w:bCs/>
                <w:color w:val="1E3065"/>
                <w:sz w:val="20"/>
                <w:szCs w:val="20"/>
              </w:rPr>
              <w:t xml:space="preserve">Stage 3</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Risk &amp; Integrity Agent</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Fraud score, same-day count, monthly count, duplicate signal, alteration flags</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fraud_score &gt; 0.80 or same-day &gt; 2</w:t>
            </w:r>
          </w:p>
        </w:tc>
      </w:tr>
      <w:tr>
        <w:tc>
          <w:tcPr>
            <w:tcW w:type="dxa" w:w="1560"/>
            <w:tcBorders>
              <w:top w:val="single" w:color="C8D0DE" w:sz="1"/>
              <w:left w:val="single" w:color="C8D0DE" w:sz="1"/>
              <w:bottom w:val="single" w:color="C8D0DE" w:sz="1"/>
              <w:right w:val="single" w:color="C8D0DE" w:sz="1"/>
            </w:tcBorders>
            <w:shd w:fill="EDE9FE" w:val="clear"/>
            <w:tcMar>
              <w:top w:type="dxa" w:w="80"/>
              <w:left w:type="dxa" w:w="120"/>
              <w:bottom w:type="dxa" w:w="80"/>
              <w:right w:type="dxa" w:w="120"/>
            </w:tcMar>
            <w:vAlign w:val="top"/>
          </w:tcPr>
          <w:p>
            <w:pPr>
              <w:spacing w:after="100" w:before="60"/>
            </w:pPr>
            <w:r>
              <w:rPr>
                <w:rFonts w:ascii="Arial" w:cs="Arial" w:eastAsia="Arial" w:hAnsi="Arial"/>
                <w:b/>
                <w:bCs/>
                <w:color w:val="1E3065"/>
                <w:sz w:val="20"/>
                <w:szCs w:val="20"/>
              </w:rPr>
              <w:t xml:space="preserve">Stage 4</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Policy Engine Agent</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Coverage eligibility, waiting period result, exclusion check, pre-auth check, sub-limit check</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Policy ambiguity, edge case requiring review</w:t>
            </w:r>
          </w:p>
        </w:tc>
      </w:tr>
      <w:tr>
        <w:tc>
          <w:tcPr>
            <w:tcW w:type="dxa" w:w="1560"/>
            <w:tcBorders>
              <w:top w:val="single" w:color="C8D0DE" w:sz="1"/>
              <w:left w:val="single" w:color="C8D0DE" w:sz="1"/>
              <w:bottom w:val="single" w:color="C8D0DE" w:sz="1"/>
              <w:right w:val="single" w:color="C8D0DE" w:sz="1"/>
            </w:tcBorders>
            <w:shd w:fill="EDE9FE" w:val="clear"/>
            <w:tcMar>
              <w:top w:type="dxa" w:w="80"/>
              <w:left w:type="dxa" w:w="120"/>
              <w:bottom w:type="dxa" w:w="80"/>
              <w:right w:type="dxa" w:w="120"/>
            </w:tcMar>
            <w:vAlign w:val="top"/>
          </w:tcPr>
          <w:p>
            <w:pPr>
              <w:spacing w:after="100" w:before="60"/>
            </w:pPr>
            <w:r>
              <w:rPr>
                <w:rFonts w:ascii="Arial" w:cs="Arial" w:eastAsia="Arial" w:hAnsi="Arial"/>
                <w:b/>
                <w:bCs/>
                <w:color w:val="1E3065"/>
                <w:sz w:val="20"/>
                <w:szCs w:val="20"/>
              </w:rPr>
              <w:t xml:space="preserve">Stage 5</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Adjudication Agent</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APPROVED / PARTIAL / REJECTED / MANUAL_REVIEW, approved_amount, deductions breakdown, confidence_score, reason_card</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High-value claim &gt; ₹25,000; low confidence</w:t>
            </w:r>
          </w:p>
        </w:tc>
      </w:tr>
    </w:tbl>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1E3065"/>
          <w:sz w:val="26"/>
          <w:szCs w:val="26"/>
        </w:rPr>
        <w:t xml:space="preserve">5.1 Agent 1 — Ingest Agent</w:t>
      </w:r>
    </w:p>
    <w:p>
      <w:pPr>
        <w:spacing w:after="100" w:before="60"/>
      </w:pPr>
      <w:r>
        <w:rPr>
          <w:rFonts w:ascii="Arial" w:cs="Arial" w:eastAsia="Arial" w:hAnsi="Arial"/>
          <w:color w:val="1E3065"/>
          <w:sz w:val="20"/>
          <w:szCs w:val="20"/>
        </w:rPr>
        <w:t xml:space="preserve">The Ingest Agent is the system's gatekeeper. It runs before any extraction or policy evaluation and ensures that the document set submitted by the member is complete, correctly typed, and readable. It is the only stage that can halt the pipeline with a user-facing resubmission request.</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Property</w:t>
            </w:r>
          </w:p>
        </w:tc>
        <w:tc>
          <w:tcPr>
            <w:tcW w:type="dxa" w:w="71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Detail</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Input</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Member ID, Claim Type, Document list (file_id, file_name, uploaded_type or inferred_type)</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Document Type Classification</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classifies each document as: PRESCRIPTION, HOSPITAL_BILL, LAB_REPORT, PHARMACY_BILL, DISCHARGE_SUMMARY, or UNKNOWN. Classification confidence is stored per document.</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Completeness Check</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Loaded from policy_terms.json → document_requirements[claim_type].required. Missing required types produce an actionable, named error (e.g. "HOSPITAL_BILL is required for CONSULTATION claims but was not found. You uploaded two PRESCRIPTION documents.")</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Readability Check</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assesses each document image for readability. If a required document is UNREADABLE, the member is asked to re-upload that specific file. The claim is not rejected — it is held at PENDING_RESUBMISSION.</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Duplicate Detection</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If the same document type appears more than once (e.g. two PRESCRIPTION files), the agent flags this as a warning and asks the member to confirm which is correct.</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Output</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ingestion_result: { status: COMPLETE | INCOMPLETE | UNREADABLE, documents: [ { file_id, classified_type, readability, issues[] } ], missing_types[], error_messages[] }</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Failure Behaviour</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If document classification itself fails (LLM timeout), the agent falls back to file extension and filename heuristics and marks the document as TYPE_UNCERTAIN. The pipeline continues with a reduced confidence score.</w:t>
            </w:r>
          </w:p>
        </w:tc>
      </w:tr>
    </w:tbl>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1E3065"/>
          <w:sz w:val="26"/>
          <w:szCs w:val="26"/>
        </w:rPr>
        <w:t xml:space="preserve">5.2 Agent 2 — Extraction Agent</w:t>
      </w:r>
    </w:p>
    <w:p>
      <w:pPr>
        <w:spacing w:after="100" w:before="60"/>
      </w:pPr>
      <w:r>
        <w:rPr>
          <w:rFonts w:ascii="Arial" w:cs="Arial" w:eastAsia="Arial" w:hAnsi="Arial"/>
          <w:color w:val="1E3065"/>
          <w:sz w:val="20"/>
          <w:szCs w:val="20"/>
        </w:rPr>
        <w:t xml:space="preserve">The Extraction Agent calls the IDP layer for each document and assembles a unified, structured claim context. It performs patient identity cross-matching across all documents and validates key fields for format correctness (e.g. doctor registration number format).</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Property</w:t>
            </w:r>
          </w:p>
        </w:tc>
        <w:tc>
          <w:tcPr>
            <w:tcW w:type="dxa" w:w="71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Detail</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Input</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Ingestion result with classified document list; raw document images / PDFs</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IDP Orchestration</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For each document, calls the appropriate IDP engine (Gemini Flash primary → PaddleOCR secondary → Tesseract tertiary → Azure Form Recognizer as enterprise option). Selects highest-confidence field values.</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Cross-Document Patient Matching</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Compares patient_name extracted from each document. If names differ (e.g. prescription says 'Rajesh Kumar', bill says 'Arjun Mehta'), the agent raises PATIENT_MISMATCH, surfaces the specific names found on each document, and halts the pipeline.</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Doctor Registration Validation</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Validates extracted registration numbers against known state formats (KA/XXXXX/YYYY, MH/XXXXX/YYYY, AYUR/KL/XXXXX/YYYY, etc.). Invalid format is flagged but does not auto-reject — it reduces confidence.</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Diagnosis Normalization</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expands medical shorthand: HTN → Hypertension, T2DM → Type 2 Diabetes Mellitus, URI → Upper Respiratory Infection. Normalized diagnosis is passed to the Policy Engine.</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Output</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extracted_claim: { patient_name, doctor_name, doctor_reg, diagnosis, treatment_date, line_items[], total_amount, medicines[], per_field_confidence{}, cross_match_result, document_flags[] }</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HITL Trigger</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Ops can edit any extracted field in the console. Edits are stored in the audit trail with editor identity and timestamp. If a document is too degraded to extract key fields, Ops can trigger resubmission.</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Failure Behaviour</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If IDP call times out for one document, the agent uses available fields from other documents and marks missing fields as EXTRACTION_FAILED. Pipeline continues; confidence is reduced by 0.15 per failed document.</w:t>
            </w:r>
          </w:p>
        </w:tc>
      </w:tr>
    </w:tbl>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1E3065"/>
          <w:sz w:val="26"/>
          <w:szCs w:val="26"/>
        </w:rPr>
        <w:t xml:space="preserve">5.3 Agent 3 — Risk &amp; Integrity Agent</w:t>
      </w:r>
    </w:p>
    <w:p>
      <w:pPr>
        <w:spacing w:after="100" w:before="60"/>
      </w:pPr>
      <w:r>
        <w:rPr>
          <w:rFonts w:ascii="Arial" w:cs="Arial" w:eastAsia="Arial" w:hAnsi="Arial"/>
          <w:color w:val="1E3065"/>
          <w:sz w:val="20"/>
          <w:szCs w:val="20"/>
        </w:rPr>
        <w:t xml:space="preserve">The Risk Agent evaluates behavioural and document-level signals to detect fraud, duplicate submissions, and integrity anomalies. It never auto-rejects — it produces a fraud_score and routes to MANUAL_REVIEW when the score exceeds the threshold.</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Check</w:t>
            </w:r>
          </w:p>
        </w:tc>
        <w:tc>
          <w:tcPr>
            <w:tcW w:type="dxa" w:w="65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Logic &amp; Threshold</w:t>
            </w:r>
          </w:p>
        </w:tc>
      </w:tr>
      <w:tr>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Same-Day Claims Count</w:t>
            </w:r>
          </w:p>
        </w:tc>
        <w:tc>
          <w:tcPr>
            <w:tcW w:type="dxa" w:w="6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Count of claims from this member with treatment_date = today. Policy threshold: 2. If count &gt; 2, flag as SAME_DAY_EXCESS. Route to MANUAL_REVIEW.</w:t>
            </w:r>
          </w:p>
        </w:tc>
      </w:tr>
      <w:tr>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Monthly Claims Count</w:t>
            </w:r>
          </w:p>
        </w:tc>
        <w:tc>
          <w:tcPr>
            <w:tcW w:type="dxa" w:w="6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Count of claims from this member in the current calendar month. Policy threshold: 6. If count &gt; 6, flag as MONTHLY_EXCESS. Route to MANUAL_REVIEW.</w:t>
            </w:r>
          </w:p>
        </w:tc>
      </w:tr>
      <w:tr>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High-Value Auto-Review</w:t>
            </w:r>
          </w:p>
        </w:tc>
        <w:tc>
          <w:tcPr>
            <w:tcW w:type="dxa" w:w="6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If claimed_amount &gt; ₹25,000, auto-route to MANUAL_REVIEW regardless of other flags. Ops must confirm before approval.</w:t>
            </w:r>
          </w:p>
        </w:tc>
      </w:tr>
      <w:tr>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Duplicate Claim Detection</w:t>
            </w:r>
          </w:p>
        </w:tc>
        <w:tc>
          <w:tcPr>
            <w:tcW w:type="dxa" w:w="6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Hash of (member_id + treatment_date + hospital_name + total_amount). If hash already exists in the claims DB, flag as POTENTIAL_DUPLICATE. Route to MANUAL_REVIEW.</w:t>
            </w:r>
          </w:p>
        </w:tc>
      </w:tr>
      <w:tr>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Document Alteration Flag</w:t>
            </w:r>
          </w:p>
        </w:tc>
        <w:tc>
          <w:tcPr>
            <w:tcW w:type="dxa" w:w="6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If IDP detected DOCUMENT_ALTERATION (crossed-out amounts, multiple stamps), risk score is increased by +0.30.</w:t>
            </w:r>
          </w:p>
        </w:tc>
      </w:tr>
      <w:tr>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Provider Pattern Check</w:t>
            </w:r>
          </w:p>
        </w:tc>
        <w:tc>
          <w:tcPr>
            <w:tcW w:type="dxa" w:w="6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If the same provider appears in &gt; 4 claims for this member in 30 days, flag as PROVIDER_OVERUSE.</w:t>
            </w:r>
          </w:p>
        </w:tc>
      </w:tr>
      <w:tr>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Fraud Score Calculation</w:t>
            </w:r>
          </w:p>
        </w:tc>
        <w:tc>
          <w:tcPr>
            <w:tcW w:type="dxa" w:w="6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Composite score: each flag contributes a weight (SAME_DAY_EXCESS: +0.40, MONTHLY_EXCESS: +0.25, HIGH_VALUE: +0.20, DUPLICATE: +0.50, ALTERATION: +0.30, PROVIDER_OVERUSE: +0.15). Score is capped at 1.0.</w:t>
            </w:r>
          </w:p>
        </w:tc>
      </w:tr>
      <w:tr>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Output</w:t>
            </w:r>
          </w:p>
        </w:tc>
        <w:tc>
          <w:tcPr>
            <w:tcW w:type="dxa" w:w="6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risk_result: { fraud_score, flags: [ { code, description, evidence } ], recommendation: PASS | MANUAL_REVIEW }</w:t>
            </w:r>
          </w:p>
        </w:tc>
      </w:tr>
    </w:tbl>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1E3065"/>
          <w:sz w:val="26"/>
          <w:szCs w:val="26"/>
        </w:rPr>
        <w:t xml:space="preserve">5.4 Agent 4 — Policy Engine Agent</w:t>
      </w:r>
    </w:p>
    <w:p>
      <w:pPr>
        <w:spacing w:after="100" w:before="60"/>
      </w:pPr>
      <w:r>
        <w:rPr>
          <w:rFonts w:ascii="Arial" w:cs="Arial" w:eastAsia="Arial" w:hAnsi="Arial"/>
          <w:color w:val="1E3065"/>
          <w:sz w:val="20"/>
          <w:szCs w:val="20"/>
        </w:rPr>
        <w:t xml:space="preserve">The Policy Engine reads all rules from policy_terms.json and evaluates the extracted claim data against them in a deterministic sequence. No policy logic is hardcoded.</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Check (in order)</w:t>
            </w:r>
          </w:p>
        </w:tc>
        <w:tc>
          <w:tcPr>
            <w:tcW w:type="dxa" w:w="65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Logic</w:t>
            </w:r>
          </w:p>
        </w:tc>
      </w:tr>
      <w:tr>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1. Member Eligibility</w:t>
            </w:r>
          </w:p>
        </w:tc>
        <w:tc>
          <w:tcPr>
            <w:tcW w:type="dxa" w:w="6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Verify member_id exists in policy members list. Check relationship (SELF, SPOUSE, CHILD, PARENT) is in covered_relationships. If not found: REJECTED(MEMBER_NOT_ELIGIBLE).</w:t>
            </w:r>
          </w:p>
        </w:tc>
      </w:tr>
      <w:tr>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2. Policy Active</w:t>
            </w:r>
          </w:p>
        </w:tc>
        <w:tc>
          <w:tcPr>
            <w:tcW w:type="dxa" w:w="6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Check policy_start_date ≤ treatment_date ≤ policy_end_date and renewal_status = ACTIVE. If outside: REJECTED(POLICY_INACTIVE).</w:t>
            </w:r>
          </w:p>
        </w:tc>
      </w:tr>
      <w:tr>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3. Submission Deadline</w:t>
            </w:r>
          </w:p>
        </w:tc>
        <w:tc>
          <w:tcPr>
            <w:tcW w:type="dxa" w:w="6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Check submission_date ≤ treatment_date + 30 days. If late: REJECTED(SUBMISSION_DEADLINE_EXCEEDED).</w:t>
            </w:r>
          </w:p>
        </w:tc>
      </w:tr>
      <w:tr>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4. Minimum Claim Amount</w:t>
            </w:r>
          </w:p>
        </w:tc>
        <w:tc>
          <w:tcPr>
            <w:tcW w:type="dxa" w:w="6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Check claimed_amount ≥ ₹500. If below: REJECTED(BELOW_MINIMUM_CLAIM).</w:t>
            </w:r>
          </w:p>
        </w:tc>
      </w:tr>
      <w:tr>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5. Initial Waiting Period</w:t>
            </w:r>
          </w:p>
        </w:tc>
        <w:tc>
          <w:tcPr>
            <w:tcW w:type="dxa" w:w="6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Check treatment_date ≥ join_date + 30 days. If within: REJECTED(INITIAL_WAITING_PERIOD). Error message states the first eligible date.</w:t>
            </w:r>
          </w:p>
        </w:tc>
      </w:tr>
      <w:tr>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6. Condition-Specific Waiting Period</w:t>
            </w:r>
          </w:p>
        </w:tc>
        <w:tc>
          <w:tcPr>
            <w:tcW w:type="dxa" w:w="6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Map normalized diagnosis to waiting_periods.specific. Check treatment_date ≥ join_date + condition_days. If within: REJECTED(WAITING_PERIOD). Error states condition, period, and first eligible date.</w:t>
            </w:r>
          </w:p>
        </w:tc>
      </w:tr>
      <w:tr>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7. Exclusion Check</w:t>
            </w:r>
          </w:p>
        </w:tc>
        <w:tc>
          <w:tcPr>
            <w:tcW w:type="dxa" w:w="6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Match normalized diagnosis and each line item description against exclusions list and category-specific excluded_procedures / excluded_items. Excluded items are removed from the approved line items.</w:t>
            </w:r>
          </w:p>
        </w:tc>
      </w:tr>
      <w:tr>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8. Pre-Authorization Check</w:t>
            </w:r>
          </w:p>
        </w:tc>
        <w:tc>
          <w:tcPr>
            <w:tcW w:type="dxa" w:w="6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If claim_type = DIAGNOSTIC and claimed_amount &gt; ₹10,000, or test is MRI/CT/PET, check for pre_auth_reference in claim submission. If missing: REJECTED(PRE_AUTH_REQUIRED).</w:t>
            </w:r>
          </w:p>
        </w:tc>
      </w:tr>
      <w:tr>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9. Coverage Category Check</w:t>
            </w:r>
          </w:p>
        </w:tc>
        <w:tc>
          <w:tcPr>
            <w:tcW w:type="dxa" w:w="6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Verify claim_type maps to a covered opd_category in policy. If not covered: REJECTED(CATEGORY_NOT_COVERED).</w:t>
            </w:r>
          </w:p>
        </w:tc>
      </w:tr>
      <w:tr>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10. Per-Claim Limit</w:t>
            </w:r>
          </w:p>
        </w:tc>
        <w:tc>
          <w:tcPr>
            <w:tcW w:type="dxa" w:w="6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Check claimed_amount ≤ per_claim_limit (₹5,000). If exceeded: REJECTED(PER_CLAIM_LIMIT_EXCEEDED). Error states the limit and claimed amount.</w:t>
            </w:r>
          </w:p>
        </w:tc>
      </w:tr>
      <w:tr>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11. Sub-Limit Check</w:t>
            </w:r>
          </w:p>
        </w:tc>
        <w:tc>
          <w:tcPr>
            <w:tcW w:type="dxa" w:w="6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Check claimed_amount ≤ category sub_limit. If exceeded: claimed_amount is capped to sub_limit and status becomes PARTIAL.</w:t>
            </w:r>
          </w:p>
        </w:tc>
      </w:tr>
      <w:tr>
        <w:tc>
          <w:tcPr>
            <w:tcW w:type="dxa" w:w="2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12. Annual OPD Limit</w:t>
            </w:r>
          </w:p>
        </w:tc>
        <w:tc>
          <w:tcPr>
            <w:tcW w:type="dxa" w:w="6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Check (ytd_claims_amount + claimed_amount) ≤ annual_opd_limit (₹50,000). If exceeded: cap to remaining balance. Status becomes PARTIAL.</w:t>
            </w:r>
          </w:p>
        </w:tc>
      </w:tr>
      <w:tr>
        <w:tc>
          <w:tcPr>
            <w:tcW w:type="dxa" w:w="2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Output</w:t>
            </w:r>
          </w:p>
        </w:tc>
        <w:tc>
          <w:tcPr>
            <w:tcW w:type="dxa" w:w="6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policy_result: { eligible: true/false, rejection_reasons: [], approved_line_items: [], excluded_line_items: [], copay_percent, network_discount_percent, eligible_amount }</w:t>
            </w:r>
          </w:p>
        </w:tc>
      </w:tr>
    </w:tbl>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1E3065"/>
          <w:sz w:val="26"/>
          <w:szCs w:val="26"/>
        </w:rPr>
        <w:t xml:space="preserve">5.5 Agent 5 — Adjudication Agent</w:t>
      </w:r>
    </w:p>
    <w:p>
      <w:pPr>
        <w:spacing w:after="100" w:before="60"/>
      </w:pPr>
      <w:r>
        <w:rPr>
          <w:rFonts w:ascii="Arial" w:cs="Arial" w:eastAsia="Arial" w:hAnsi="Arial"/>
          <w:color w:val="1E3065"/>
          <w:sz w:val="20"/>
          <w:szCs w:val="20"/>
        </w:rPr>
        <w:t xml:space="preserve">The Adjudication Agent is the final calculation layer. It computes the payable amount from the eligible line items, applies discounts and co-pays in the correct sequence, and assigns the final decision code.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Property</w:t>
            </w:r>
          </w:p>
        </w:tc>
        <w:tc>
          <w:tcPr>
            <w:tcW w:type="dxa" w:w="71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Detail</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Input</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Policy engine result (eligible_amount, copay_percent, network_discount_percent, hospital_name), claim data</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Network Discount</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Check if hospital_name is in network_hospitals list. If yes, apply network_discount_percent to eligible_amount FIRST. Calculation: discounted_amount = eligible_amount × (1 - network_discount_percent / 100).</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Co-Pay Application</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Apply copay_percent to discounted_amount. Calculation: copay_deduction = discounted_amount × (copay_percent / 100). approved_amount = discounted_amount - copay_deduction.</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Branded Drug Co-Pay</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If claim_type = PHARMACY and medicines include branded drugs (not substituted with generic), apply branded_drug_copay_percent (30%) to those line items specifically.</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Confidence Score</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Base score starts at 1.0. Deductions: -0.15 per IDP extraction failure, -0.10 for LOW_CONFIDENCE field, -0.05 for DOCUMENT_QUALITY_WARN, -0.10 for component failure (any agent failure). Minimum floor: 0.20.</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Decision Assignment</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APPROVED: all checks pass, full amount payable. PARTIAL: some items excluded or amount capped. REJECTED: any hard rejection rule triggered. MANUAL_REVIEW: fraud_score &gt; threshold, high-value claim, or confidence &lt; 0.50.</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Output</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decision_result: { decision, approved_amount, confidence_score, deductions: { network_discount, copay, excluded_items }, reason_card, full_audit_trace[] }</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HITL</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Claims &gt; ₹25,000 or confidence &lt; 0.60 are held for Ops confirmation before the decision is written back to the Claims System.</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80"/>
              <w:left w:type="dxa" w:w="120"/>
              <w:bottom w:type="dxa" w:w="80"/>
              <w:right w:type="dxa" w:w="120"/>
            </w:tcMar>
            <w:vAlign w:val="top"/>
          </w:tcPr>
          <w:p>
            <w:pPr>
              <w:spacing w:after="0" w:before="0"/>
              <w:jc w:val="left"/>
            </w:pPr>
            <w:r>
              <w:rPr>
                <w:rFonts w:ascii="Arial" w:cs="Arial" w:eastAsia="Arial" w:hAnsi="Arial"/>
                <w:b/>
                <w:bCs/>
                <w:color w:val="92400E"/>
                <w:sz w:val="19"/>
                <w:szCs w:val="19"/>
              </w:rPr>
              <w:t xml:space="preserve">Financial Calculation Order (Critical — TC010)</w:t>
            </w:r>
          </w:p>
          <w:p>
            <w:pPr>
              <w:spacing w:after="100" w:before="60"/>
            </w:pPr>
            <w:r>
              <w:rPr>
                <w:rFonts w:ascii="Arial" w:cs="Arial" w:eastAsia="Arial" w:hAnsi="Arial"/>
                <w:color w:val="1E3065"/>
                <w:sz w:val="20"/>
                <w:szCs w:val="20"/>
              </w:rPr>
              <w:t xml:space="preserve">The order of operations matters. Network discount is always applied before co-pay, not after.</w:t>
            </w:r>
          </w:p>
          <w:p>
            <w:pPr>
              <w:spacing w:after="100" w:before="60"/>
            </w:pPr>
            <w:r>
              <w:rPr>
                <w:rFonts w:ascii="Arial" w:cs="Arial" w:eastAsia="Arial" w:hAnsi="Arial"/>
                <w:color w:val="1E3065"/>
                <w:sz w:val="20"/>
                <w:szCs w:val="20"/>
              </w:rPr>
              <w:t xml:space="preserve">Example: Claimed ₹4,500 at Apollo Hospitals (network). Network discount 20% → ₹4,500 × 0.80 = ₹3,600.</w:t>
            </w:r>
          </w:p>
          <w:p>
            <w:pPr>
              <w:spacing w:after="100" w:before="60"/>
            </w:pPr>
            <w:r>
              <w:rPr>
                <w:rFonts w:ascii="Arial" w:cs="Arial" w:eastAsia="Arial" w:hAnsi="Arial"/>
                <w:color w:val="1E3065"/>
                <w:sz w:val="20"/>
                <w:szCs w:val="20"/>
              </w:rPr>
              <w:t xml:space="preserve">Co-pay 10% on discounted amount → ₹3,600 × 0.10 = ₹360 deducted. Approved amount = ₹3,600 - ₹360 = ₹3,240.</w:t>
            </w:r>
          </w:p>
          <w:p>
            <w:pPr>
              <w:spacing w:after="100" w:before="60"/>
            </w:pPr>
            <w:r>
              <w:rPr>
                <w:rFonts w:ascii="Arial" w:cs="Arial" w:eastAsia="Arial" w:hAnsi="Arial"/>
                <w:color w:val="1E3065"/>
                <w:sz w:val="20"/>
                <w:szCs w:val="20"/>
              </w:rPr>
              <w:t xml:space="preserve">If co-pay were applied first: ₹4,500 - ₹450 = ₹4,050; then 20% discount = ₹3,240... same result here, but the sequence is contractually specified and must be documented correctly in the reason card.</w:t>
            </w:r>
          </w:p>
        </w:tc>
      </w:tr>
    </w:tbl>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6. End-to-End Data Flow</w:t>
      </w:r>
    </w:p>
    <w:p>
      <w:pPr>
        <w:spacing w:after="100" w:before="60"/>
      </w:pPr>
      <w:r>
        <w:rPr>
          <w:rFonts w:ascii="Arial" w:cs="Arial" w:eastAsia="Arial" w:hAnsi="Arial"/>
          <w:color w:val="1E3065"/>
          <w:sz w:val="20"/>
          <w:szCs w:val="20"/>
        </w:rPr>
        <w:t xml:space="preserve">The following describes the complete path of a claim from submission to decision. Every step is logged in the audit trail.</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9"/>
                <w:szCs w:val="19"/>
              </w:rPr>
              <w:t xml:space="preserve">Step 1: Claim Submission</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Member submits claim via Membership Portal or Ops Console. Payload: { member_id, policy_id, claim_category, treatment_date, claimed_amount, documents[] }. A claim_id is generated and the record is written to Claims System with status SUBMITTED.</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9"/>
                <w:szCs w:val="19"/>
              </w:rPr>
              <w:t xml:space="preserve">Step 2: Ingest Agent</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1 loads document requirements from policy_terms.json. Classifies each uploaded document using Gemini Flash. Checks completeness, readability, and duplicate types. If any required document is missing or unreadable, a RESUBMISSION_REQUIRED event is emitted to the Membership Portal. Pipeline halts. If all documents pass, ingestion_result is stored and the pipeline continues to Agent 2.</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9"/>
                <w:szCs w:val="19"/>
              </w:rPr>
              <w:t xml:space="preserve">Step 3: IDP Extraction</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2 calls the IDP orchestrator for each document. Gemini Flash makes a structured extraction call with a document-type-specific prompt. PaddleOCR and Tesseract run on low-confidence fields. Azure Form Recognizer can be substituted in production. Per-field confidence scores are computed. Patient names are cross-matched across all documents. Doctor registration format is validated. Normalized diagnosis is produced. extracted_claim JSON is stored and passed to Agent 3.</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9"/>
                <w:szCs w:val="19"/>
              </w:rPr>
              <w:t xml:space="preserve">Step 4: Risk Assessment</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3 queries Fraud Intelligence DB for this member's same-day and monthly claim count. Checks for duplicate hash. Evaluates document alteration flags from IDP. Computes fraud_score. If fraud_score &gt; 0.80 or same-day claims &gt; 2, sets recommendation = MANUAL_REVIEW. risk_result is stored and passed to Agent 4.</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9"/>
                <w:szCs w:val="19"/>
              </w:rPr>
              <w:t xml:space="preserve">Step 5: Policy Evaluation</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4 reads all rules from policy_terms.json. Runs all 12 checks in the documented sequence. Any hard rejection immediately produces a REJECTED decision with the specific rule name and reason text. Passing checks produce an eligible_amount and modified line items. policy_result is stored and passed to Agent 5.</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9"/>
                <w:szCs w:val="19"/>
              </w:rPr>
              <w:t xml:space="preserve">Step 6: Adjudication</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5 applies financial calculations: network discount → co-pay → branded drug co-pay. Aggregates all agent results. Computes confidence_score. Assigns final decision code. Generates reason card with full evidence chain. If decision requires HITL confirmation (high-value or low confidence), status is set to PENDING_OPS_REVIEW. Otherwise, decision is written directly to Claims System.</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9"/>
                <w:szCs w:val="19"/>
              </w:rPr>
              <w:t xml:space="preserve">Step 7: Sync</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All outcomes, reason codes, approved amounts, and evidence are synced to: Claims System (status + settlement), Enrollment System (YTD balance update), and Membership Portal (member-facing decision notification with plain-language explanation).</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7. Component Contracts</w:t>
      </w:r>
    </w:p>
    <w:p>
      <w:pPr>
        <w:spacing w:after="100" w:before="60"/>
      </w:pPr>
      <w:r>
        <w:rPr>
          <w:rFonts w:ascii="Arial" w:cs="Arial" w:eastAsia="Arial" w:hAnsi="Arial"/>
          <w:color w:val="1E3065"/>
          <w:sz w:val="20"/>
          <w:szCs w:val="20"/>
        </w:rPr>
        <w:t xml:space="preserve">Each component has a defined interface. Any component can be reimplemented without changing others, provided the interface contract is respected.</w:t>
      </w:r>
    </w:p>
    <w:p>
      <w:pPr>
        <w:spacing w:after="8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3A4D7A"/>
          <w:sz w:val="22"/>
          <w:szCs w:val="22"/>
        </w:rPr>
        <w:t xml:space="preserve">7.1 Ingest Agent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Contract Property</w:t>
            </w:r>
          </w:p>
        </w:tc>
        <w:tc>
          <w:tcPr>
            <w:tcW w:type="dxa" w:w="71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Specification</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Input schema</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 claim_id: string, member_id: string, claim_type: CONSULTATION|DIAGNOSTIC|PHARMACY|DENTAL|VISION|ALTERNATIVE_MEDICINE, documents: [{ file_id, file_name, file_path, uploaded_type? }] }</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Output schema</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 status: COMPLETE|INCOMPLETE|UNREADABLE, documents: [{ file_id, classified_type, confidence, readability: GOOD|POOR|UNREADABLE, issues: string[] }], missing_types: string[], error_messages: string[], ingestion_log: string[] }</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Errors raised</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MISSING_REQUIRED_DOCUMENT (with named types), DOCUMENT_UNREADABLE (with file_id), UNKNOWN_DOCUMENT_TYPE (with file_id), DUPLICATE_DOCUMENT_TYPE (with type)</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Halt condition</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If missing_types.length &gt; 0 OR any document with readability = UNREADABLE on a required type → halt pipeline, emit error to member portal.</w:t>
            </w:r>
          </w:p>
        </w:tc>
      </w:tr>
    </w:tbl>
    <w:p>
      <w:pPr>
        <w:spacing w:after="8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3A4D7A"/>
          <w:sz w:val="22"/>
          <w:szCs w:val="22"/>
        </w:rPr>
        <w:t xml:space="preserve">7.2 Extraction Agent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Contract Property</w:t>
            </w:r>
          </w:p>
        </w:tc>
        <w:tc>
          <w:tcPr>
            <w:tcW w:type="dxa" w:w="71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Specification</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Input schema</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 claim_id, ingestion_result (from Agent 1), document_files[] }</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Output schema</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 patient_name, doctor_name, doctor_registration, doctor_reg_valid: bool, diagnosis, diagnosis_normalized, treatment_date, line_items: [{ description, amount, covered?: bool }], total_amount, medicines: [{ name, dosage, duration }], per_field_confidence: { [field_name]: 0.0-1.0 }, cross_match_result: PASS|MISMATCH, cross_match_detail: string, document_flags: string[], idp_failures: string[] }</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Errors raised</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IDP_TIMEOUT (non-fatal, pipeline continues), PATIENT_MISMATCH (fatal, pipeline halts), EXTRACTION_PARTIAL (non-fatal, confidence reduced)</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Failure behaviour</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On IDP_TIMEOUT for a document: mark all fields from that document as EXTRACTION_FAILED. Reduce confidence by 0.15. Continue.</w:t>
            </w:r>
          </w:p>
        </w:tc>
      </w:tr>
    </w:tbl>
    <w:p>
      <w:pPr>
        <w:spacing w:after="8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3A4D7A"/>
          <w:sz w:val="22"/>
          <w:szCs w:val="22"/>
        </w:rPr>
        <w:t xml:space="preserve">7.3 Risk Agent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Contract Property</w:t>
            </w:r>
          </w:p>
        </w:tc>
        <w:tc>
          <w:tcPr>
            <w:tcW w:type="dxa" w:w="71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Specification</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Input schema</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 claim_id, member_id, treatment_date, claimed_amount, hospital_name, document_flags[] }</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Output schema</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 fraud_score: 0.0-1.0, flags: [{ code: string, description: string, evidence: string, weight: number }], recommendation: PASS|MANUAL_REVIEW, claims_history_today_count: number, claims_history_month_count: number }</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Errors raised</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FRAUD_DB_UNAVAILABLE (non-fatal, fraud_score defaults to 0.0, flag RISK_CHECK_SKIPPED added, confidence reduced by 0.10)</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Decision rule</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If fraud_score ≥ 0.80 OR claimed_amount &gt; 25000 → recommendation = MANUAL_REVIEW</w:t>
            </w:r>
          </w:p>
        </w:tc>
      </w:tr>
    </w:tbl>
    <w:p>
      <w:pPr>
        <w:spacing w:after="8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3A4D7A"/>
          <w:sz w:val="22"/>
          <w:szCs w:val="22"/>
        </w:rPr>
        <w:t xml:space="preserve">7.4 Policy Engine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Contract Property</w:t>
            </w:r>
          </w:p>
        </w:tc>
        <w:tc>
          <w:tcPr>
            <w:tcW w:type="dxa" w:w="71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Specification</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Input schema</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 claim_id, member_id, claim_type, treatment_date, diagnosis_normalized, line_items[], claimed_amount, hospital_name, ytd_claims_amount, pre_auth_reference? }</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Output schema</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 eligible: bool, rejection_reasons: [{ code, description, evidence, first_eligible_date? }], approved_line_items: [{ description, amount, reason? }], excluded_line_items: [{ description, amount, exclusion_reason }], copay_percent, network_discount_percent, eligible_amount, checks_run: string[], policy_version: string }</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Errors raised</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POLICY_FILE_NOT_FOUND (fatal), MEMBER_NOT_IN_POLICY (rejection, not crash), POLICY_CONFIG_SCHEMA_ERROR (fatal)</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Hard rejections</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MEMBER_NOT_ELIGIBLE, POLICY_INACTIVE, SUBMISSION_DEADLINE_EXCEEDED, BELOW_MINIMUM_CLAIM, INITIAL_WAITING_PERIOD, WAITING_PERIOD_{CONDITION}, EXCLUDED_CONDITION, PRE_AUTH_REQUIRED, CATEGORY_NOT_COVERED, PER_CLAIM_LIMIT_EXCEEDED</w:t>
            </w:r>
          </w:p>
        </w:tc>
      </w:tr>
    </w:tbl>
    <w:p>
      <w:pPr>
        <w:spacing w:after="8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3A4D7A"/>
          <w:sz w:val="22"/>
          <w:szCs w:val="22"/>
        </w:rPr>
        <w:t xml:space="preserve">7.5 Adjudication Agent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Contract Property</w:t>
            </w:r>
          </w:p>
        </w:tc>
        <w:tc>
          <w:tcPr>
            <w:tcW w:type="dxa" w:w="71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Specification</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Input schema</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 claim_id, policy_result (from Agent 4), risk_result (from Agent 3), extraction_result (from Agent 2), ingestion_result (from Agent 1) }</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Output schema</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 decision: APPROVED|PARTIAL|REJECTED|MANUAL_REVIEW, approved_amount: number, confidence_score: 0.0-1.0, deductions: { network_discount_amount, copay_amount, excluded_items_amount }, reason_card: { stage_decisions[], evidence[], explanation }, audit_trace: [{ stage, timestamp, inputs_hash, output_summary }], requires_hitl: bool }</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Confidence deductions</w:t>
            </w:r>
          </w:p>
        </w:tc>
        <w:tc>
          <w:tcPr>
            <w:tcW w:type="dxa" w:w="71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-0.15 per IDP document failure, -0.10 per LOW_CONFIDENCE field, -0.05 per IMAGE_QUALITY_WARN, -0.10 per skipped agent component. Floor: 0.20.</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HITL trigger</w:t>
            </w:r>
          </w:p>
        </w:tc>
        <w:tc>
          <w:tcPr>
            <w:tcW w:type="dxa" w:w="71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requires_hitl = true if confidence_score &lt; 0.60 OR claimed_amount &gt; 25000 OR risk recommendation = MANUAL_REVIEW</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8. Human-in-the-Loop (HITL) Design</w:t>
      </w:r>
    </w:p>
    <w:p>
      <w:pPr>
        <w:spacing w:after="100" w:before="60"/>
      </w:pPr>
      <w:r>
        <w:rPr>
          <w:rFonts w:ascii="Arial" w:cs="Arial" w:eastAsia="Arial" w:hAnsi="Arial"/>
          <w:color w:val="1E3065"/>
          <w:sz w:val="20"/>
          <w:szCs w:val="20"/>
        </w:rPr>
        <w:t xml:space="preserve">Automation handles the routine cases. HITL checkpoints exist for the cases where the system either cannot be confident enough to auto-decide or where the business requires human sign-off regardless of system confidence.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Trigger</w:t>
            </w:r>
          </w:p>
        </w:tc>
        <w:tc>
          <w:tcPr>
            <w:tcW w:type="dxa" w:w="24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Ops Action</w:t>
            </w:r>
          </w:p>
        </w:tc>
        <w:tc>
          <w:tcPr>
            <w:tcW w:type="dxa" w:w="24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Member Action</w:t>
            </w:r>
          </w:p>
        </w:tc>
        <w:tc>
          <w:tcPr>
            <w:tcW w:type="dxa" w:w="27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System Update</w:t>
            </w:r>
          </w:p>
        </w:tc>
      </w:tr>
      <w:tr>
        <w:tc>
          <w:tcPr>
            <w:tcW w:type="dxa" w:w="1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Missing or wrong document</w:t>
            </w:r>
          </w:p>
        </w:tc>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Review the specific error and send resubmission request via portal</w:t>
            </w:r>
          </w:p>
        </w:tc>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Upload the named missing document type</w:t>
            </w:r>
          </w:p>
        </w:tc>
        <w:tc>
          <w:tcPr>
            <w:tcW w:type="dxa" w:w="27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Claim stays PENDING_RESUBMISSION; reason code stored</w:t>
            </w:r>
          </w:p>
        </w:tc>
      </w:tr>
      <w:tr>
        <w:tc>
          <w:tcPr>
            <w:tcW w:type="dxa" w:w="1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Unreadable document</w:t>
            </w:r>
          </w:p>
        </w:tc>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Inspect preview; choose to accept extraction or request re-upload</w:t>
            </w:r>
          </w:p>
        </w:tc>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Re-upload a clearer photo or scan of the specific file</w:t>
            </w:r>
          </w:p>
        </w:tc>
        <w:tc>
          <w:tcPr>
            <w:tcW w:type="dxa" w:w="27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If re-uploaded, pipeline restarts from Agent 2</w:t>
            </w:r>
          </w:p>
        </w:tc>
      </w:tr>
      <w:tr>
        <w:tc>
          <w:tcPr>
            <w:tcW w:type="dxa" w:w="1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Patient name mismatch</w:t>
            </w:r>
          </w:p>
        </w:tc>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Review both documents; confirm or reject the cross-match result</w:t>
            </w:r>
          </w:p>
        </w:tc>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Upload corrected document if the wrong file was submitted</w:t>
            </w:r>
          </w:p>
        </w:tc>
        <w:tc>
          <w:tcPr>
            <w:tcW w:type="dxa" w:w="27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If rejected by Ops, claim is REJECTED(PATIENT_MISMATCH)</w:t>
            </w:r>
          </w:p>
        </w:tc>
      </w:tr>
      <w:tr>
        <w:tc>
          <w:tcPr>
            <w:tcW w:type="dxa" w:w="1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Extraction uncertainty (low confidence field)</w:t>
            </w:r>
          </w:p>
        </w:tc>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Edit the extracted field value directly in the console</w:t>
            </w:r>
          </w:p>
        </w:tc>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No action unless Ops requests resubmission</w:t>
            </w:r>
          </w:p>
        </w:tc>
        <w:tc>
          <w:tcPr>
            <w:tcW w:type="dxa" w:w="27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Edit stored in audit trail with editor ID and timestamp</w:t>
            </w:r>
          </w:p>
        </w:tc>
      </w:tr>
      <w:tr>
        <w:tc>
          <w:tcPr>
            <w:tcW w:type="dxa" w:w="1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Risk flag / fraud score &gt; 0.80</w:t>
            </w:r>
          </w:p>
        </w:tc>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Review all flagged signals and evidence; validate or reject with a reason code</w:t>
            </w:r>
          </w:p>
        </w:tc>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No action unless Ops requests documentation</w:t>
            </w:r>
          </w:p>
        </w:tc>
        <w:tc>
          <w:tcPr>
            <w:tcW w:type="dxa" w:w="27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Ops decision logged; reason code synced everywhere</w:t>
            </w:r>
          </w:p>
        </w:tc>
      </w:tr>
      <w:tr>
        <w:tc>
          <w:tcPr>
            <w:tcW w:type="dxa" w:w="1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High-value claim &gt; ₹25,000</w:t>
            </w:r>
          </w:p>
        </w:tc>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Confirm the calculation breakdown before approval</w:t>
            </w:r>
          </w:p>
        </w:tc>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No member action</w:t>
            </w:r>
          </w:p>
        </w:tc>
        <w:tc>
          <w:tcPr>
            <w:tcW w:type="dxa" w:w="27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Final approval only written after Ops confirmation</w:t>
            </w:r>
          </w:p>
        </w:tc>
      </w:tr>
      <w:tr>
        <w:tc>
          <w:tcPr>
            <w:tcW w:type="dxa" w:w="18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Component failure / degraded confidence</w:t>
            </w:r>
          </w:p>
        </w:tc>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Review the incomplete trace and the skipped component's note; confirm or escalate</w:t>
            </w:r>
          </w:p>
        </w:tc>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No action</w:t>
            </w:r>
          </w:p>
        </w:tc>
        <w:tc>
          <w:tcPr>
            <w:tcW w:type="dxa" w:w="27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Component failure noted in audit trail; confidence score shown</w:t>
            </w:r>
          </w:p>
        </w:tc>
      </w:tr>
      <w:tr>
        <w:tc>
          <w:tcPr>
            <w:tcW w:type="dxa" w:w="18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Policy edge case / ambiguity</w:t>
            </w:r>
          </w:p>
        </w:tc>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Override or confirm the policy engine's interpretation</w:t>
            </w:r>
          </w:p>
        </w:tc>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No action</w:t>
            </w:r>
          </w:p>
        </w:tc>
        <w:tc>
          <w:tcPr>
            <w:tcW w:type="dxa" w:w="27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Override stored with Ops ID; reason card updated</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9. Observability &amp; Audit Trail</w:t>
      </w:r>
    </w:p>
    <w:p>
      <w:pPr>
        <w:spacing w:after="100" w:before="60"/>
      </w:pPr>
      <w:r>
        <w:rPr>
          <w:rFonts w:ascii="Arial" w:cs="Arial" w:eastAsia="Arial" w:hAnsi="Arial"/>
          <w:color w:val="1E3065"/>
          <w:sz w:val="20"/>
          <w:szCs w:val="20"/>
        </w:rPr>
        <w:t xml:space="preserve">Every claim decision must be fully reconstructable from the stored trace. The Ops Console provides a full audit viewer that shows the exact inputs, agent outputs, field-level confidence scores, and HITL actions for any claim.</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Audit Record Type</w:t>
            </w:r>
          </w:p>
        </w:tc>
        <w:tc>
          <w:tcPr>
            <w:tcW w:type="dxa" w:w="69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Contents</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Ingestion Log</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Timestamp, classified document types, readability scores, missing document flags, terminal-style log entries</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Extraction Record</w:t>
            </w:r>
          </w:p>
        </w:tc>
        <w:tc>
          <w:tcPr>
            <w:tcW w:type="dxa" w:w="6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Per-document extracted fields, per-field confidence scores, IDP engine used per field, patient cross-match result, doctor reg validation result</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Risk Record</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Fraud score, all flags with evidence strings, same-day count, monthly count, claims history used</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Policy Record</w:t>
            </w:r>
          </w:p>
        </w:tc>
        <w:tc>
          <w:tcPr>
            <w:tcW w:type="dxa" w:w="6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All 12 checks run in sequence, check name, input value, threshold value, pass/fail, rejection code if applicable</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Adjudication Record</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Approved line items, excluded line items with reasons, network discount calculation, co-pay calculation, final approved amount, decision code, confidence score with all deductions listed</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HITL Action Log</w:t>
            </w:r>
          </w:p>
        </w:tc>
        <w:tc>
          <w:tcPr>
            <w:tcW w:type="dxa" w:w="6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Ops user ID, action type (EDIT / APPROVE / REJECT / REQUEST_RESUBMISSION), field changed and old/new value, timestamp</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Sync Log</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Which systems were updated, payload summary, timestamp, success/failure per system</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F2F2" w:val="clear"/>
            <w:tcMar>
              <w:top w:type="dxa" w:w="80"/>
              <w:left w:type="dxa" w:w="120"/>
              <w:bottom w:type="dxa" w:w="80"/>
              <w:right w:type="dxa" w:w="120"/>
            </w:tcMar>
            <w:vAlign w:val="top"/>
          </w:tcPr>
          <w:p>
            <w:pPr>
              <w:spacing w:after="0" w:before="0"/>
              <w:jc w:val="left"/>
            </w:pPr>
            <w:r>
              <w:rPr>
                <w:rFonts w:ascii="Arial" w:cs="Arial" w:eastAsia="Arial" w:hAnsi="Arial"/>
                <w:b/>
                <w:bCs/>
                <w:color w:val="991B1B"/>
                <w:sz w:val="19"/>
                <w:szCs w:val="19"/>
              </w:rPr>
              <w:t xml:space="preserve">Non-Negotiable Observability Rule</w:t>
            </w:r>
          </w:p>
          <w:p>
            <w:pPr>
              <w:spacing w:after="100" w:before="60"/>
            </w:pPr>
            <w:r>
              <w:rPr>
                <w:rFonts w:ascii="Arial" w:cs="Arial" w:eastAsia="Arial" w:hAnsi="Arial"/>
                <w:color w:val="1E3065"/>
                <w:sz w:val="20"/>
                <w:szCs w:val="20"/>
              </w:rPr>
              <w:t xml:space="preserve">A generic error or trace entry is never acceptable.</w:t>
            </w:r>
          </w:p>
          <w:p>
            <w:pPr>
              <w:spacing w:after="100" w:before="60"/>
            </w:pPr>
            <w:r>
              <w:rPr>
                <w:rFonts w:ascii="Arial" w:cs="Arial" w:eastAsia="Arial" w:hAnsi="Arial"/>
                <w:color w:val="1E3065"/>
                <w:sz w:val="20"/>
                <w:szCs w:val="20"/>
              </w:rPr>
              <w:t xml:space="preserve">Bad:  'Claim rejected due to policy violation.'</w:t>
            </w:r>
          </w:p>
          <w:p>
            <w:pPr>
              <w:spacing w:after="100" w:before="60"/>
            </w:pPr>
            <w:r>
              <w:rPr>
                <w:rFonts w:ascii="Arial" w:cs="Arial" w:eastAsia="Arial" w:hAnsi="Arial"/>
                <w:color w:val="1E3065"/>
                <w:sz w:val="20"/>
                <w:szCs w:val="20"/>
              </w:rPr>
              <w:t xml:space="preserve">Good: 'REJECTED(WAITING_PERIOD_DIABETES) — Member EMP005 joined 2024-09-01. Diabetes waiting period is 90 days. Treatment date 2024-10-15 falls within the waiting period. First eligible date: 2024-11-30.'</w:t>
            </w:r>
          </w:p>
          <w:p>
            <w:pPr>
              <w:spacing w:after="100" w:before="60"/>
            </w:pPr>
            <w:r>
              <w:rPr>
                <w:rFonts w:ascii="Arial" w:cs="Arial" w:eastAsia="Arial" w:hAnsi="Arial"/>
                <w:color w:val="1E3065"/>
                <w:sz w:val="20"/>
                <w:szCs w:val="20"/>
              </w:rPr>
              <w:t xml:space="preserve">Every reason card must name: the exact rule or check that triggered the outcome, the specific extracted value that was evaluated, the threshold or required value from policy, and the action available to the member or Ops.</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10. Graceful Degradation &amp; Failure Handling</w:t>
      </w:r>
    </w:p>
    <w:p>
      <w:pPr>
        <w:spacing w:after="100" w:before="60"/>
      </w:pPr>
      <w:r>
        <w:rPr>
          <w:rFonts w:ascii="Arial" w:cs="Arial" w:eastAsia="Arial" w:hAnsi="Arial"/>
          <w:color w:val="1E3065"/>
          <w:sz w:val="20"/>
          <w:szCs w:val="20"/>
        </w:rPr>
        <w:t xml:space="preserve">The system is designed to never crash. Any component failure is caught, logged, and reflected in the confidence score. The pipeline continues with whatever information it has.</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960"/>
      </w:tblGrid>
      <w:tr>
        <w:tc>
          <w:tcPr>
            <w:tcW w:type="dxa" w:w="24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Failure Scenario</w:t>
            </w:r>
          </w:p>
        </w:tc>
        <w:tc>
          <w:tcPr>
            <w:tcW w:type="dxa" w:w="39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Behaviour</w:t>
            </w:r>
          </w:p>
        </w:tc>
        <w:tc>
          <w:tcPr>
            <w:tcW w:type="dxa" w:w="29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Confidence Impact</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API timeout</w:t>
            </w:r>
          </w:p>
        </w:tc>
        <w:tc>
          <w:tcPr>
            <w:tcW w:type="dxa" w:w="3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PaddleOCR + Tesseract run as fallback. If both fail, field is marked EXTRACTION_FAILED. Pipeline continues.</w:t>
            </w:r>
          </w:p>
        </w:tc>
        <w:tc>
          <w:tcPr>
            <w:tcW w:type="dxa" w:w="2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-0.15 per affected document</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PaddleOCR crash</w:t>
            </w:r>
          </w:p>
        </w:tc>
        <w:tc>
          <w:tcPr>
            <w:tcW w:type="dxa" w:w="3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Tesseract runs for that field. If Tesseract also fails, field is marked EXTRACTION_FAILED.</w:t>
            </w:r>
          </w:p>
        </w:tc>
        <w:tc>
          <w:tcPr>
            <w:tcW w:type="dxa" w:w="2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-0.05 per affected field</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Azure Form Recognizer unavailable</w:t>
            </w:r>
          </w:p>
        </w:tc>
        <w:tc>
          <w:tcPr>
            <w:tcW w:type="dxa" w:w="3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Fallback to Gemini Flash. Azure is optional; its absence does not fail the pipeline.</w:t>
            </w:r>
          </w:p>
        </w:tc>
        <w:tc>
          <w:tcPr>
            <w:tcW w:type="dxa" w:w="2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-0.05 if Azure was primary for that doc type</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Fraud Intelligence DB unreachable</w:t>
            </w:r>
          </w:p>
        </w:tc>
        <w:tc>
          <w:tcPr>
            <w:tcW w:type="dxa" w:w="3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risk_result.fraud_score = 0.0. Flag RISK_CHECK_SKIPPED added. Pipeline continues. Reason card notes the skipped check.</w:t>
            </w:r>
          </w:p>
        </w:tc>
        <w:tc>
          <w:tcPr>
            <w:tcW w:type="dxa" w:w="2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-0.10</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Policy file parse error</w:t>
            </w:r>
          </w:p>
        </w:tc>
        <w:tc>
          <w:tcPr>
            <w:tcW w:type="dxa" w:w="3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Fatal. Pipeline halts. Ops alerted. Claim is placed in SYSTEM_ERROR status with clear error message.</w:t>
            </w:r>
          </w:p>
        </w:tc>
        <w:tc>
          <w:tcPr>
            <w:tcW w:type="dxa" w:w="2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N/A — pipeline halt</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Risk Agent timeout</w:t>
            </w:r>
          </w:p>
        </w:tc>
        <w:tc>
          <w:tcPr>
            <w:tcW w:type="dxa" w:w="3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is skipped. RISK_CHECK_SKIPPED flag is set. Adjudication notes that risk was not evaluated and recommends MANUAL_REVIEW.</w:t>
            </w:r>
          </w:p>
        </w:tc>
        <w:tc>
          <w:tcPr>
            <w:tcW w:type="dxa" w:w="2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-0.10 + MANUAL_REVIEW recommended</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Any non-fatal agent exception</w:t>
            </w:r>
          </w:p>
        </w:tc>
        <w:tc>
          <w:tcPr>
            <w:tcW w:type="dxa" w:w="3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Exception is caught. Stage result is marked as PARTIAL_FAILURE with error details. Pipeline continues to next stage.</w:t>
            </w:r>
          </w:p>
        </w:tc>
        <w:tc>
          <w:tcPr>
            <w:tcW w:type="dxa" w:w="2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-0.10 per failed stage</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All IDP engines fail for a required document</w:t>
            </w:r>
          </w:p>
        </w:tc>
        <w:tc>
          <w:tcPr>
            <w:tcW w:type="dxa" w:w="3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Document is marked EXTRACTION_COMPLETE_FAILURE. Adjudication confidence is severely reduced. MANUAL_REVIEW is recommended.</w:t>
            </w:r>
          </w:p>
        </w:tc>
        <w:tc>
          <w:tcPr>
            <w:tcW w:type="dxa" w:w="2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-0.30; MANUAL_REVIEW</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11. Test Case Coverage Summary</w:t>
      </w:r>
    </w:p>
    <w:p>
      <w:pPr>
        <w:spacing w:after="100" w:before="60"/>
      </w:pPr>
      <w:r>
        <w:rPr>
          <w:rFonts w:ascii="Arial" w:cs="Arial" w:eastAsia="Arial" w:hAnsi="Arial"/>
          <w:color w:val="1E3065"/>
          <w:sz w:val="20"/>
          <w:szCs w:val="20"/>
        </w:rPr>
        <w:t xml:space="preserve">The system is designed to handle all 12 test cases from test_cases.json. The table below maps each test case to the agent and rule that handles it.</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Test Case</w:t>
            </w:r>
          </w:p>
        </w:tc>
        <w:tc>
          <w:tcPr>
            <w:tcW w:type="dxa" w:w="45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Handled By</w:t>
            </w:r>
          </w:p>
        </w:tc>
        <w:tc>
          <w:tcPr>
            <w:tcW w:type="dxa" w:w="26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Expected Decision</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TC001 — Wrong Document Uploaded</w:t>
            </w:r>
          </w:p>
        </w:tc>
        <w:tc>
          <w:tcPr>
            <w:tcW w:type="dxa" w:w="4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1 (Ingest): completeness check. Named error: 'HOSPITAL_BILL required, two PRESCRIPTION documents found.'</w:t>
            </w:r>
          </w:p>
        </w:tc>
        <w:tc>
          <w:tcPr>
            <w:tcW w:type="dxa" w:w="26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Pipeline halt, RESUBMISSION_REQUIRED</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TC002 — Unreadable Document</w:t>
            </w:r>
          </w:p>
        </w:tc>
        <w:tc>
          <w:tcPr>
            <w:tcW w:type="dxa" w:w="4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1 (Ingest): readability check. Named error: 'pharmacy_bill.jpg cannot be read. Please re-upload a clearer image.'</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Pipeline halt, RESUBMISSION_REQUIRED</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TC003 — Documents Belong to Different Patients</w:t>
            </w:r>
          </w:p>
        </w:tc>
        <w:tc>
          <w:tcPr>
            <w:tcW w:type="dxa" w:w="4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2 (Extraction): cross-document patient name matching. Surfaces both names found.</w:t>
            </w:r>
          </w:p>
        </w:tc>
        <w:tc>
          <w:tcPr>
            <w:tcW w:type="dxa" w:w="26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Pipeline halt, PATIENT_MISMATCH</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TC004 — Clean Consultation Full Approval</w:t>
            </w:r>
          </w:p>
        </w:tc>
        <w:tc>
          <w:tcPr>
            <w:tcW w:type="dxa" w:w="4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Agents 1-5 all pass. Policy: within all limits. Adjudication: 10% co-pay applied on ₹1,500 = ₹150 deducted. Approved: ₹1,350.</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APPROVED, ₹1,350, confidence ≥ 0.85</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TC005 — Waiting Period Diabetes</w:t>
            </w:r>
          </w:p>
        </w:tc>
        <w:tc>
          <w:tcPr>
            <w:tcW w:type="dxa" w:w="4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4 (Policy Engine): join_date 2024-09-01 + 90 days = 2024-11-30. Treatment 2024-10-15 is within waiting period.</w:t>
            </w:r>
          </w:p>
        </w:tc>
        <w:tc>
          <w:tcPr>
            <w:tcW w:type="dxa" w:w="26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REJECTED(WAITING_PERIOD_DIABETES), first eligible date: 2024-11-30</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TC006 — Dental Partial Approval</w:t>
            </w:r>
          </w:p>
        </w:tc>
        <w:tc>
          <w:tcPr>
            <w:tcW w:type="dxa" w:w="4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4: Root Canal (₹8,000) is a covered procedure. Teeth Whitening (₹4,000) is in excluded_procedures. Approved only covered item.</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PARTIAL, ₹8,000 approved, ₹4,000 excluded (cosmetic)</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TC007 — MRI Without Pre-Auth</w:t>
            </w:r>
          </w:p>
        </w:tc>
        <w:tc>
          <w:tcPr>
            <w:tcW w:type="dxa" w:w="4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4: claim_type=DIAGNOSTIC, amount=₹15,000 &gt; ₹10,000 threshold, test=MRI. pre_auth_reference absent.</w:t>
            </w:r>
          </w:p>
        </w:tc>
        <w:tc>
          <w:tcPr>
            <w:tcW w:type="dxa" w:w="26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REJECTED(PRE_AUTH_REQUIRED)</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TC008 — Per-Claim Limit Exceeded</w:t>
            </w:r>
          </w:p>
        </w:tc>
        <w:tc>
          <w:tcPr>
            <w:tcW w:type="dxa" w:w="4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4: claimed_amount ₹7,500 &gt; per_claim_limit ₹5,000.</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REJECTED(PER_CLAIM_LIMIT_EXCEEDED)</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TC009 — Fraud Signal Same-Day Claims</w:t>
            </w:r>
          </w:p>
        </w:tc>
        <w:tc>
          <w:tcPr>
            <w:tcW w:type="dxa" w:w="4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3: 4th claim on same day. same_day_count (3) &gt; threshold (2). fraud_score ≥ 0.80.</w:t>
            </w:r>
          </w:p>
        </w:tc>
        <w:tc>
          <w:tcPr>
            <w:tcW w:type="dxa" w:w="26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MANUAL_REVIEW with SAME_DAY_EXCESS flag</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TC010 — Network Hospital Discount</w:t>
            </w:r>
          </w:p>
        </w:tc>
        <w:tc>
          <w:tcPr>
            <w:tcW w:type="dxa" w:w="4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5: Apollo Hospitals is a network hospital. Network discount 20% applied first to ₹4,500 = ₹3,600. Co-pay 10% on ₹3,600 = ₹360. Approved ₹3,240.</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APPROVED, ₹3,240, discount + co-pay breakdown shown</w:t>
            </w:r>
          </w:p>
        </w:tc>
      </w:tr>
      <w:tr>
        <w:tc>
          <w:tcPr>
            <w:tcW w:type="dxa" w:w="22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TC011 — Component Failure Graceful Degradation</w:t>
            </w:r>
          </w:p>
        </w:tc>
        <w:tc>
          <w:tcPr>
            <w:tcW w:type="dxa" w:w="45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One agent (e.g. Risk) fails. Pipeline continues. reason_card notes skipped component. confidence score reduced. MANUAL_REVIEW recommended.</w:t>
            </w:r>
          </w:p>
        </w:tc>
        <w:tc>
          <w:tcPr>
            <w:tcW w:type="dxa" w:w="26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APPROVED with reduced confidence, component failure logged</w:t>
            </w:r>
          </w:p>
        </w:tc>
      </w:tr>
      <w:tr>
        <w:tc>
          <w:tcPr>
            <w:tcW w:type="dxa" w:w="22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TC012 — Excluded Treatment</w:t>
            </w:r>
          </w:p>
        </w:tc>
        <w:tc>
          <w:tcPr>
            <w:tcW w:type="dxa" w:w="45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4: diagnosis = Morbid Obesity. treatment = Bariatric Consultation. Both are in exclusions list.</w:t>
            </w:r>
          </w:p>
        </w:tc>
        <w:tc>
          <w:tcPr>
            <w:tcW w:type="dxa" w:w="26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REJECTED(EXCLUDED_CONDITION), confidence ≥ 0.90</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12. Scalability &amp; Future Architecture</w:t>
      </w:r>
    </w:p>
    <w:p>
      <w:pPr>
        <w:spacing w:after="100" w:before="60"/>
      </w:pPr>
      <w:r>
        <w:rPr>
          <w:rFonts w:ascii="Arial" w:cs="Arial" w:eastAsia="Arial" w:hAnsi="Arial"/>
          <w:color w:val="1E3065"/>
          <w:sz w:val="20"/>
          <w:szCs w:val="20"/>
        </w:rPr>
        <w:t xml:space="preserve">The current design handles the 12 test cases and Plum's current 75,000 annual claims. The following outlines how the architecture evolves at 10x load (750,000 claims/year or ~2,000 claims/day).</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Concern</w:t>
            </w:r>
          </w:p>
        </w:tc>
        <w:tc>
          <w:tcPr>
            <w:tcW w:type="dxa" w:w="69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Approach at 10x Scale</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IDP Throughput</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Move from synchronous LLM calls to async queuing (e.g. Celery + Redis or AWS SQS). Each document extraction is an independent task. Multiple Gemini Flash API keys with rate-limit aware routing. Azure Form Recognizer as primary for printed documents at scale (higher throughput, lower latency).</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Agent Pipeline Execution</w:t>
            </w:r>
          </w:p>
        </w:tc>
        <w:tc>
          <w:tcPr>
            <w:tcW w:type="dxa" w:w="6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Convert the sequential agent pipeline to an async DAG (Directed Acyclic Graph). Ingest and Extraction can run in parallel per document. Risk and Policy Engine run after Extraction. Adjudication runs after all others. Use a workflow orchestrator (Temporal, Prefect, or Airflow).</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Policy Rule Engine</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Replace JSON file loading with a compiled rule engine (e.g. Drools or a Python-native rule DSL). Rules are versioned and A/B testable. Policy changes take effect immediately without redeployment.</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Fraud Intelligence DB</w:t>
            </w:r>
          </w:p>
        </w:tc>
        <w:tc>
          <w:tcPr>
            <w:tcW w:type="dxa" w:w="6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Replace in-memory counter with Redis for real-time same-day/monthly counts. Add a vector similarity store for semantic duplicate detection (prescription text embeddings).</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Audit Trail Storage</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Move from in-memory trace to an append-only event log (e.g. Apache Kafka → S3 + Athena for query). Every agent emit is an event. Full trace is reconstructable by replaying events.</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HITL Queue</w:t>
            </w:r>
          </w:p>
        </w:tc>
        <w:tc>
          <w:tcPr>
            <w:tcW w:type="dxa" w:w="6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Dedicated HITL queue with priority levels. High-value claims and fraud flags get to the top of the Ops review queue. SLA timers ensure claims are not stuck in manual review.</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Multi-tenancy</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The current design is single-policy (PLUM_GHI_2024). At 10x, multiple corporate policies exist. Policy routing based on member_id → policy_id mapping. Each policy has its own rule set and document requirements.</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13. Design Trade-offs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Decision</w:t>
            </w:r>
          </w:p>
        </w:tc>
        <w:tc>
          <w:tcPr>
            <w:tcW w:type="dxa" w:w="69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Rationale &amp; Trade-off</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Sequential agents vs. parallel</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Sequential chosen for assignment scope — easier to trace and debug. Each agent's output is the next agent's input. At scale, parallelise where possible (see Section 12).</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as primary IDP (not Azure Form Recognizer)</w:t>
            </w:r>
          </w:p>
        </w:tc>
        <w:tc>
          <w:tcPr>
            <w:tcW w:type="dxa" w:w="6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free tier enables zero-cost for the assignment. It handles handwriting and multilingual text which pre-built Azure models handle less well for Indian documents. Trade-off: Gemini Flash has higher latency and usage limits. Azure Form Recognizer is the production upgrade path.</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PaddleOCR over Tesseract as secondary OCR</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PaddleOCR is superior for multilingual Indian documents (Devanagari, Tamil, Telugu) and low-contrast images. Tesseract is faster but less accurate on handwriting. Trade-off: PaddleOCR has a heavier dependency footprint.</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Policy rules loaded from JSON at runtime</w:t>
            </w:r>
          </w:p>
        </w:tc>
        <w:tc>
          <w:tcPr>
            <w:tcW w:type="dxa" w:w="6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Zero hardcoding — any policy change takes effect immediately without code changes. Trade-off: no compile-time validation of rule logic. Addressed by schema validation at startup.</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Confidence score over binary pass/fail</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Binary decisions hide degradation. A confidence score lets Ops and the member understand how reliable the decision is. HITL is triggered automatically when confidence drops below threshold.</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MANUAL_REVIEW instead of auto-reject for fraud signals</w:t>
            </w:r>
          </w:p>
        </w:tc>
        <w:tc>
          <w:tcPr>
            <w:tcW w:type="dxa" w:w="6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Fraud signals are probabilistic. Auto-rejecting on a fraud score would incorrectly reject legitimate claims (false positives). MANUAL_REVIEW preserves member trust while flagging risk for human judgment.</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IDP field merging (highest confidence wins)</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Rather than trusting a single OCR engine, the orchestrator takes the best result per field from all engines. This significantly improves extraction accuracy on poor-quality documents. Trade-off: more API calls per document.</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14.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Limitation</w:t>
            </w:r>
          </w:p>
        </w:tc>
        <w:tc>
          <w:tcPr>
            <w:tcW w:type="dxa" w:w="6960"/>
            <w:tcBorders>
              <w:top w:val="single" w:color="0E1B45" w:sz="1"/>
              <w:left w:val="single" w:color="0E1B45" w:sz="1"/>
              <w:bottom w:val="single" w:color="0E1B45" w:sz="1"/>
              <w:right w:val="single" w:color="0E1B45" w:sz="1"/>
            </w:tcBorders>
            <w:shd w:fill="0E1B4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Impact &amp; Mitigation</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No real OCR on actual images in assignment</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The current implementation uses structured mock data. In production, the IDP layer would receive actual image bytes. The architecture supports this — the extraction agent interface accepts file_path → base64 image for Gemini Flash vision calls.</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Gemini Flash rate limits</w:t>
            </w:r>
          </w:p>
        </w:tc>
        <w:tc>
          <w:tcPr>
            <w:tcW w:type="dxa" w:w="6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The free tier of Gemini Flash has per-minute token limits. Under high load, IDP calls may be throttled. Mitigation: exponential back-off retry, fallback to PaddleOCR/Tesseract on rate-limit errors.</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No real-time fraud pattern learning</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The risk agent uses threshold rules, not ML. Sophisticated fraud patterns (e.g. coordinated provider networks) would not be caught. Mitigation at scale: add an ML fraud model trained on historical claims data.</w:t>
            </w:r>
          </w:p>
        </w:tc>
      </w:tr>
      <w:tr>
        <w:tc>
          <w:tcPr>
            <w:tcW w:type="dxa" w:w="240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Policy JSON is single-version</w:t>
            </w:r>
          </w:p>
        </w:tc>
        <w:tc>
          <w:tcPr>
            <w:tcW w:type="dxa" w:w="6960"/>
            <w:tcBorders>
              <w:top w:val="single" w:color="C8D0DE" w:sz="1"/>
              <w:left w:val="single" w:color="C8D0DE" w:sz="1"/>
              <w:bottom w:val="single" w:color="C8D0DE" w:sz="1"/>
              <w:right w:val="single" w:color="C8D0DE" w:sz="1"/>
            </w:tcBorders>
            <w:shd w:fill="FFFFFF"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No version history or rollback for policy changes. If a rule is changed mid-year, claims processed before and after have different logic. Mitigation: add a policy_version field to every claim record.</w:t>
            </w:r>
          </w:p>
        </w:tc>
      </w:tr>
      <w:tr>
        <w:tc>
          <w:tcPr>
            <w:tcW w:type="dxa" w:w="240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No real Azure Form Recognizer integration</w:t>
            </w:r>
          </w:p>
        </w:tc>
        <w:tc>
          <w:tcPr>
            <w:tcW w:type="dxa" w:w="6960"/>
            <w:tcBorders>
              <w:top w:val="single" w:color="C8D0DE" w:sz="1"/>
              <w:left w:val="single" w:color="C8D0DE" w:sz="1"/>
              <w:bottom w:val="single" w:color="C8D0DE" w:sz="1"/>
              <w:right w:val="single" w:color="C8D0DE" w:sz="1"/>
            </w:tcBorders>
            <w:shd w:fill="F4F7FB" w:val="clear"/>
            <w:tcMar>
              <w:top w:type="dxa" w:w="80"/>
              <w:left w:type="dxa" w:w="120"/>
              <w:bottom w:type="dxa" w:w="80"/>
              <w:right w:type="dxa" w:w="120"/>
            </w:tcMar>
            <w:vAlign w:val="top"/>
          </w:tcPr>
          <w:p>
            <w:pPr>
              <w:spacing w:after="100" w:before="60"/>
            </w:pPr>
            <w:r>
              <w:rPr>
                <w:rFonts w:ascii="Arial" w:cs="Arial" w:eastAsia="Arial" w:hAnsi="Arial"/>
                <w:color w:val="1E3065"/>
                <w:sz w:val="20"/>
                <w:szCs w:val="20"/>
              </w:rPr>
              <w:t xml:space="preserve">The Azure option is described in the architecture but not implemented in the assignment code. The adapter interface is defined and documented.</w:t>
            </w:r>
          </w:p>
        </w:tc>
      </w:tr>
    </w:tbl>
    <w:p>
      <w:pPr>
        <w:spacing w:after="80" w:before="0"/>
      </w:pPr>
      <w:r>
        <w:rPr>
          <w:rFonts w:ascii="Arial" w:cs="Arial" w:eastAsia="Arial" w:hAnsi="Arial"/>
          <w:sz w:val="20"/>
          <w:szCs w:val="20"/>
        </w:rPr>
        <w:t xml:space="preserve"/>
      </w:r>
    </w:p>
    <w:p>
      <w:pPr>
        <w:pStyle w:val="Heading1"/>
        <w:pBdr>
          <w:bottom w:val="single" w:color="7C3AED" w:sz="6" w:space="4"/>
        </w:pBdr>
        <w:spacing w:after="160" w:before="360"/>
      </w:pPr>
      <w:r>
        <w:rPr>
          <w:rFonts w:ascii="Arial" w:cs="Arial" w:eastAsia="Arial" w:hAnsi="Arial"/>
          <w:b/>
          <w:bCs/>
          <w:color w:val="0E1B45"/>
          <w:sz w:val="32"/>
          <w:szCs w:val="32"/>
        </w:rPr>
        <w:t xml:space="preserve">15. Summary</w:t>
      </w:r>
    </w:p>
    <w:p>
      <w:pPr>
        <w:spacing w:after="100" w:before="60"/>
      </w:pPr>
      <w:r>
        <w:rPr>
          <w:rFonts w:ascii="Arial" w:cs="Arial" w:eastAsia="Arial" w:hAnsi="Arial"/>
          <w:color w:val="1E3065"/>
          <w:sz w:val="20"/>
          <w:szCs w:val="20"/>
        </w:rPr>
        <w:t xml:space="preserve">The Plum OPS claims processing architecture is a five-agent, policy-driven, IDP-enhanced pipeline built around three core principles: explainability, resilience, and extensibility.</w:t>
      </w:r>
    </w:p>
    <w:p>
      <w:pPr>
        <w:spacing w:after="80" w:before="0"/>
      </w:pPr>
      <w:r>
        <w:rPr>
          <w:rFonts w:ascii="Arial" w:cs="Arial" w:eastAsia="Arial" w:hAnsi="Arial"/>
          <w:sz w:val="20"/>
          <w:szCs w:val="20"/>
        </w:rPr>
        <w:t xml:space="preserve"/>
      </w:r>
    </w:p>
    <w:p>
      <w:pPr>
        <w:spacing w:after="100" w:before="60"/>
      </w:pPr>
      <w:r>
        <w:rPr>
          <w:rFonts w:ascii="Arial" w:cs="Arial" w:eastAsia="Arial" w:hAnsi="Arial"/>
          <w:color w:val="1E3065"/>
          <w:sz w:val="20"/>
          <w:szCs w:val="20"/>
        </w:rPr>
        <w:t xml:space="preserve">Explainability: every decision — approval, partial approval, rejection, or manual review — comes with a structured reason card that names the exact rule, amount, document field, or signal that drove the outcome. No black-box decisions.</w:t>
      </w:r>
    </w:p>
    <w:p>
      <w:pPr>
        <w:spacing w:after="80" w:before="0"/>
      </w:pPr>
      <w:r>
        <w:rPr>
          <w:rFonts w:ascii="Arial" w:cs="Arial" w:eastAsia="Arial" w:hAnsi="Arial"/>
          <w:sz w:val="20"/>
          <w:szCs w:val="20"/>
        </w:rPr>
        <w:t xml:space="preserve"/>
      </w:r>
    </w:p>
    <w:p>
      <w:pPr>
        <w:spacing w:after="100" w:before="60"/>
      </w:pPr>
      <w:r>
        <w:rPr>
          <w:rFonts w:ascii="Arial" w:cs="Arial" w:eastAsia="Arial" w:hAnsi="Arial"/>
          <w:color w:val="1E3065"/>
          <w:sz w:val="20"/>
          <w:szCs w:val="20"/>
        </w:rPr>
        <w:t xml:space="preserve">Resilience: individual agent failures reduce the confidence score but do not crash the pipeline. The system always produces a decision or a clear, actionable error message. HITL checkpoints exist at every stage where human judgment adds value.</w:t>
      </w:r>
    </w:p>
    <w:p>
      <w:pPr>
        <w:spacing w:after="80" w:before="0"/>
      </w:pPr>
      <w:r>
        <w:rPr>
          <w:rFonts w:ascii="Arial" w:cs="Arial" w:eastAsia="Arial" w:hAnsi="Arial"/>
          <w:sz w:val="20"/>
          <w:szCs w:val="20"/>
        </w:rPr>
        <w:t xml:space="preserve"/>
      </w:r>
    </w:p>
    <w:p>
      <w:pPr>
        <w:spacing w:after="100" w:before="60"/>
      </w:pPr>
      <w:r>
        <w:rPr>
          <w:rFonts w:ascii="Arial" w:cs="Arial" w:eastAsia="Arial" w:hAnsi="Arial"/>
          <w:color w:val="1E3065"/>
          <w:sz w:val="20"/>
          <w:szCs w:val="20"/>
        </w:rPr>
        <w:t xml:space="preserve">Extensibility: the IDP layer supports four extraction engines (Gemini Flash, PaddleOCR, Tesseract, Azure Form Recognizer) with a unified adapter interface. Policy rules are loaded from a JSON file — changing a waiting period or adding a new exclusion requires zero code changes. Agents are independently testable and replaceable.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80"/>
              <w:left w:type="dxa" w:w="120"/>
              <w:bottom w:type="dxa" w:w="80"/>
              <w:right w:type="dxa" w:w="120"/>
            </w:tcMar>
            <w:vAlign w:val="top"/>
          </w:tcPr>
          <w:p>
            <w:pPr>
              <w:spacing w:after="0" w:before="0"/>
              <w:jc w:val="left"/>
            </w:pPr>
            <w:r>
              <w:rPr>
                <w:rFonts w:ascii="Arial" w:cs="Arial" w:eastAsia="Arial" w:hAnsi="Arial"/>
                <w:b/>
                <w:bCs/>
                <w:color w:val="14532D"/>
                <w:sz w:val="19"/>
                <w:szCs w:val="19"/>
              </w:rPr>
              <w:t xml:space="preserve">System Supports All 12 Test Cases</w:t>
            </w:r>
          </w:p>
          <w:p>
            <w:pPr>
              <w:spacing w:after="100" w:before="60"/>
            </w:pPr>
            <w:r>
              <w:rPr>
                <w:rFonts w:ascii="Arial" w:cs="Arial" w:eastAsia="Arial" w:hAnsi="Arial"/>
                <w:color w:val="1E3065"/>
                <w:sz w:val="20"/>
                <w:szCs w:val="20"/>
              </w:rPr>
              <w:t xml:space="preserve">TC001–TC003: Ingest Agent catches document problems with specific, actionable error messages before any processing begins.</w:t>
            </w:r>
          </w:p>
          <w:p>
            <w:pPr>
              <w:spacing w:after="100" w:before="60"/>
            </w:pPr>
            <w:r>
              <w:rPr>
                <w:rFonts w:ascii="Arial" w:cs="Arial" w:eastAsia="Arial" w:hAnsi="Arial"/>
                <w:color w:val="1E3065"/>
                <w:sz w:val="20"/>
                <w:szCs w:val="20"/>
              </w:rPr>
              <w:t xml:space="preserve">TC004: Full approval pipeline runs cleanly with co-pay calculation and confidence ≥ 0.85.</w:t>
            </w:r>
          </w:p>
          <w:p>
            <w:pPr>
              <w:spacing w:after="100" w:before="60"/>
            </w:pPr>
            <w:r>
              <w:rPr>
                <w:rFonts w:ascii="Arial" w:cs="Arial" w:eastAsia="Arial" w:hAnsi="Arial"/>
                <w:color w:val="1E3065"/>
                <w:sz w:val="20"/>
                <w:szCs w:val="20"/>
              </w:rPr>
              <w:t xml:space="preserve">TC005–TC008: Policy Engine evaluates waiting periods, exclusions, pre-auth requirements, and per-claim limits from policy_terms.json.</w:t>
            </w:r>
          </w:p>
          <w:p>
            <w:pPr>
              <w:spacing w:after="100" w:before="60"/>
            </w:pPr>
            <w:r>
              <w:rPr>
                <w:rFonts w:ascii="Arial" w:cs="Arial" w:eastAsia="Arial" w:hAnsi="Arial"/>
                <w:color w:val="1E3065"/>
                <w:sz w:val="20"/>
                <w:szCs w:val="20"/>
              </w:rPr>
              <w:t xml:space="preserve">TC009: Risk Agent flags same-day claim excess and routes to MANUAL_REVIEW with full evidence.</w:t>
            </w:r>
          </w:p>
          <w:p>
            <w:pPr>
              <w:spacing w:after="100" w:before="60"/>
            </w:pPr>
            <w:r>
              <w:rPr>
                <w:rFonts w:ascii="Arial" w:cs="Arial" w:eastAsia="Arial" w:hAnsi="Arial"/>
                <w:color w:val="1E3065"/>
                <w:sz w:val="20"/>
                <w:szCs w:val="20"/>
              </w:rPr>
              <w:t xml:space="preserve">TC010: Adjudication Agent applies network discount before co-pay, exactly as specified.</w:t>
            </w:r>
          </w:p>
          <w:p>
            <w:pPr>
              <w:spacing w:after="100" w:before="60"/>
            </w:pPr>
            <w:r>
              <w:rPr>
                <w:rFonts w:ascii="Arial" w:cs="Arial" w:eastAsia="Arial" w:hAnsi="Arial"/>
                <w:color w:val="1E3065"/>
                <w:sz w:val="20"/>
                <w:szCs w:val="20"/>
              </w:rPr>
              <w:t xml:space="preserve">TC011: Component failure is caught, logged, confidence is reduced, and MANUAL_REVIEW is recommended — the system does not crash.</w:t>
            </w:r>
          </w:p>
          <w:p>
            <w:pPr>
              <w:spacing w:after="100" w:before="60"/>
            </w:pPr>
            <w:r>
              <w:rPr>
                <w:rFonts w:ascii="Arial" w:cs="Arial" w:eastAsia="Arial" w:hAnsi="Arial"/>
                <w:color w:val="1E3065"/>
                <w:sz w:val="20"/>
                <w:szCs w:val="20"/>
              </w:rPr>
              <w:t xml:space="preserve">TC012: Bariatric consultation and obesity treatment are matched against the exclusions list and rejected with confidence ≥ 0.90.</w:t>
            </w:r>
          </w:p>
        </w:tc>
      </w:tr>
    </w:tbl>
    <w:p>
      <w:r>
        <w:br w:type="page"/>
      </w:r>
    </w:p>
    <w:p>
      <w:r>
        <w:rPr>
          <w:rFonts w:ascii="Arial" w:hAnsi="Arial"/>
          <w:b/>
          <w:sz w:val="32"/>
        </w:rPr>
        <w:t>16. User Guide — Operating the Plum OPS Platform</w:t>
      </w:r>
    </w:p>
    <w:p>
      <w:r>
        <w:rPr>
          <w:rFonts w:ascii="Arial" w:hAnsi="Arial"/>
          <w:sz w:val="21"/>
        </w:rPr>
        <w:t>This user guide is intended for Ops personnel who operate the Plum OPS Console on a day-to-day basis. It covers the complete workflow from receiving a new claim through to issuing a final decision, including how to handle every HITL (Human-in-the-Loop) checkpoint the platform may present.</w:t>
      </w:r>
    </w:p>
    <w:p>
      <w:r>
        <w:rPr>
          <w:rFonts w:ascii="Arial" w:hAnsi="Arial"/>
          <w:b/>
          <w:sz w:val="26"/>
        </w:rPr>
        <w:t>16.1 Getting Started</w:t>
      </w:r>
    </w:p>
    <w:tbl>
      <w:tblPr>
        <w:tblW w:type="auto" w:w="0"/>
        <w:tblLook w:firstColumn="1" w:firstRow="1" w:lastColumn="0" w:lastRow="0" w:noHBand="0" w:noVBand="1" w:val="04A0"/>
      </w:tblPr>
      <w:tblGrid>
        <w:gridCol w:w="5040"/>
        <w:gridCol w:w="5040"/>
      </w:tblGrid>
      <w:tr>
        <w:tc>
          <w:tcPr>
            <w:tcW w:type="dxa" w:w="5040"/>
          </w:tcPr>
          <w:p>
            <w:r/>
            <w:r>
              <w:rPr>
                <w:rFonts w:ascii="Arial" w:hAnsi="Arial"/>
                <w:sz w:val="20"/>
              </w:rPr>
              <w:t>Step</w:t>
            </w:r>
          </w:p>
        </w:tc>
        <w:tc>
          <w:tcPr>
            <w:tcW w:type="dxa" w:w="5040"/>
          </w:tcPr>
          <w:p>
            <w:r/>
            <w:r>
              <w:rPr>
                <w:rFonts w:ascii="Arial" w:hAnsi="Arial"/>
                <w:sz w:val="20"/>
              </w:rPr>
              <w:t>Action</w:t>
            </w:r>
          </w:p>
        </w:tc>
      </w:tr>
      <w:tr>
        <w:tc>
          <w:tcPr>
            <w:tcW w:type="dxa" w:w="5040"/>
          </w:tcPr>
          <w:p>
            <w:r/>
            <w:r>
              <w:rPr>
                <w:rFonts w:ascii="Arial" w:hAnsi="Arial"/>
                <w:sz w:val="20"/>
              </w:rPr>
              <w:t>1. Log In</w:t>
            </w:r>
          </w:p>
        </w:tc>
        <w:tc>
          <w:tcPr>
            <w:tcW w:type="dxa" w:w="5040"/>
          </w:tcPr>
          <w:p>
            <w:r/>
            <w:r>
              <w:rPr>
                <w:rFonts w:ascii="Arial" w:hAnsi="Arial"/>
                <w:sz w:val="20"/>
              </w:rPr>
              <w:t>Open the Plum OPS Console URL in your browser. Enter your Ops username and password. Upon login, you will land on the Claims Dashboard which shows the live queue of claims grouped by status: SUBMITTED, PENDING_RESUBMISSION, PENDING_OPS_REVIEW, and MANUAL_REVIEW.</w:t>
            </w:r>
          </w:p>
        </w:tc>
      </w:tr>
      <w:tr>
        <w:tc>
          <w:tcPr>
            <w:tcW w:type="dxa" w:w="5040"/>
          </w:tcPr>
          <w:p>
            <w:r/>
            <w:r>
              <w:rPr>
                <w:rFonts w:ascii="Arial" w:hAnsi="Arial"/>
                <w:sz w:val="20"/>
              </w:rPr>
              <w:t>2. Verify Dependencies</w:t>
            </w:r>
          </w:p>
        </w:tc>
        <w:tc>
          <w:tcPr>
            <w:tcW w:type="dxa" w:w="5040"/>
          </w:tcPr>
          <w:p>
            <w:r/>
            <w:r>
              <w:rPr>
                <w:rFonts w:ascii="Arial" w:hAnsi="Arial"/>
                <w:sz w:val="20"/>
              </w:rPr>
              <w:t>Before processing a batch of claims, check the System Health panel (top right). Confirm that the IDP Layer, Fraud Intelligence DB, and Enrollment System connections are all showing GREEN. If any service shows DEGRADED, note which component is affected. Claims will still process but confidence scores will be lower and some checks may be skipped.</w:t>
            </w:r>
          </w:p>
        </w:tc>
      </w:tr>
      <w:tr>
        <w:tc>
          <w:tcPr>
            <w:tcW w:type="dxa" w:w="5040"/>
          </w:tcPr>
          <w:p>
            <w:r/>
            <w:r>
              <w:rPr>
                <w:rFonts w:ascii="Arial" w:hAnsi="Arial"/>
                <w:sz w:val="20"/>
              </w:rPr>
              <w:t>3. Select a Claim</w:t>
            </w:r>
          </w:p>
        </w:tc>
        <w:tc>
          <w:tcPr>
            <w:tcW w:type="dxa" w:w="5040"/>
          </w:tcPr>
          <w:p>
            <w:r/>
            <w:r>
              <w:rPr>
                <w:rFonts w:ascii="Arial" w:hAnsi="Arial"/>
                <w:sz w:val="20"/>
              </w:rPr>
              <w:t>Click on any claim in the queue to open its detail view. The detail view shows: claim_id, member name, claim type, treatment date, claimed amount, document list with readability status, and the current pipeline stage. Claims flagged for MANUAL_REVIEW or HITL action appear with a red badge and should be prioritised.</w:t>
            </w:r>
          </w:p>
        </w:tc>
      </w:tr>
    </w:tbl>
    <w:p>
      <w:r>
        <w:rPr>
          <w:rFonts w:ascii="Arial" w:hAnsi="Arial"/>
          <w:b/>
          <w:sz w:val="26"/>
        </w:rPr>
        <w:t>16.2 Running the Pipeline for a New Claim</w:t>
      </w:r>
    </w:p>
    <w:p>
      <w:r>
        <w:rPr>
          <w:rFonts w:ascii="Arial" w:hAnsi="Arial"/>
          <w:sz w:val="21"/>
        </w:rPr>
        <w:t>For claims with status SUBMITTED that have not yet been processed, click the “Run Pipeline” button on the claim detail screen. The system will execute all five agents in sequence. The stage tracker at the top of the screen shows real-time progress: Ingest → Extraction → Risk → Policy → Adjudication. Each stage expands to show the data it received and the result it produced.</w:t>
      </w:r>
    </w:p>
    <w:p>
      <w:r>
        <w:rPr>
          <w:rFonts w:ascii="Arial" w:hAnsi="Arial"/>
          <w:b/>
          <w:sz w:val="26"/>
        </w:rPr>
        <w:t>16.3 Handling HITL Checkpoints</w:t>
      </w:r>
    </w:p>
    <w:tbl>
      <w:tblPr>
        <w:tblW w:type="auto" w:w="0"/>
        <w:tblLook w:firstColumn="1" w:firstRow="1" w:lastColumn="0" w:lastRow="0" w:noHBand="0" w:noVBand="1" w:val="04A0"/>
      </w:tblPr>
      <w:tblGrid>
        <w:gridCol w:w="3360"/>
        <w:gridCol w:w="3360"/>
        <w:gridCol w:w="3360"/>
      </w:tblGrid>
      <w:tr>
        <w:tc>
          <w:tcPr>
            <w:tcW w:type="dxa" w:w="3360"/>
          </w:tcPr>
          <w:p>
            <w:r/>
            <w:r>
              <w:rPr>
                <w:rFonts w:ascii="Arial" w:hAnsi="Arial"/>
                <w:sz w:val="20"/>
              </w:rPr>
              <w:t>HITL Scenario</w:t>
            </w:r>
          </w:p>
        </w:tc>
        <w:tc>
          <w:tcPr>
            <w:tcW w:type="dxa" w:w="3360"/>
          </w:tcPr>
          <w:p>
            <w:r/>
            <w:r>
              <w:rPr>
                <w:rFonts w:ascii="Arial" w:hAnsi="Arial"/>
                <w:sz w:val="20"/>
              </w:rPr>
              <w:t>What the Ops User Sees</w:t>
            </w:r>
          </w:p>
        </w:tc>
        <w:tc>
          <w:tcPr>
            <w:tcW w:type="dxa" w:w="3360"/>
          </w:tcPr>
          <w:p>
            <w:r/>
            <w:r>
              <w:rPr>
                <w:rFonts w:ascii="Arial" w:hAnsi="Arial"/>
                <w:sz w:val="20"/>
              </w:rPr>
              <w:t>Action to Take</w:t>
            </w:r>
          </w:p>
        </w:tc>
      </w:tr>
      <w:tr>
        <w:tc>
          <w:tcPr>
            <w:tcW w:type="dxa" w:w="3360"/>
          </w:tcPr>
          <w:p>
            <w:r/>
            <w:r>
              <w:rPr>
                <w:rFonts w:ascii="Arial" w:hAnsi="Arial"/>
                <w:sz w:val="20"/>
              </w:rPr>
              <w:t>Missing Document</w:t>
            </w:r>
          </w:p>
        </w:tc>
        <w:tc>
          <w:tcPr>
            <w:tcW w:type="dxa" w:w="3360"/>
          </w:tcPr>
          <w:p>
            <w:r/>
            <w:r>
              <w:rPr>
                <w:rFonts w:ascii="Arial" w:hAnsi="Arial"/>
                <w:sz w:val="20"/>
              </w:rPr>
              <w:t>Red banner at the top of the Ingest stage showing the exact missing document type (e.g. “HOSPITAL_BILL required but not found”).</w:t>
            </w:r>
          </w:p>
        </w:tc>
        <w:tc>
          <w:tcPr>
            <w:tcW w:type="dxa" w:w="3360"/>
          </w:tcPr>
          <w:p>
            <w:r/>
            <w:r>
              <w:rPr>
                <w:rFonts w:ascii="Arial" w:hAnsi="Arial"/>
                <w:sz w:val="20"/>
              </w:rPr>
              <w:t>Click “Send Resubmission Request”. The system auto-populates an email template naming the missing document. Edit if needed, then click “Send”. The claim status moves to PENDING_RESUBMISSION automatically.</w:t>
            </w:r>
          </w:p>
        </w:tc>
      </w:tr>
      <w:tr>
        <w:tc>
          <w:tcPr>
            <w:tcW w:type="dxa" w:w="3360"/>
          </w:tcPr>
          <w:p>
            <w:r/>
            <w:r>
              <w:rPr>
                <w:rFonts w:ascii="Arial" w:hAnsi="Arial"/>
                <w:sz w:val="20"/>
              </w:rPr>
              <w:t>Low-Confidence Extracted Field</w:t>
            </w:r>
          </w:p>
        </w:tc>
        <w:tc>
          <w:tcPr>
            <w:tcW w:type="dxa" w:w="3360"/>
          </w:tcPr>
          <w:p>
            <w:r/>
            <w:r>
              <w:rPr>
                <w:rFonts w:ascii="Arial" w:hAnsi="Arial"/>
                <w:sz w:val="20"/>
              </w:rPr>
              <w:t>In the Extraction stage panel, specific fields are highlighted in amber with a confidence score below 0.65. The original document image is shown alongside for comparison.</w:t>
            </w:r>
          </w:p>
        </w:tc>
        <w:tc>
          <w:tcPr>
            <w:tcW w:type="dxa" w:w="3360"/>
          </w:tcPr>
          <w:p>
            <w:r/>
            <w:r>
              <w:rPr>
                <w:rFonts w:ascii="Arial" w:hAnsi="Arial"/>
                <w:sz w:val="20"/>
              </w:rPr>
              <w:t>Click the amber field to activate edit mode. Type the correct value from the document image. Click “Save &amp; Continue”. Your edit is recorded in the audit trail with your user ID and timestamp. Alternatively, click “Request Re-Upload” if the document itself is illegible.</w:t>
            </w:r>
          </w:p>
        </w:tc>
      </w:tr>
      <w:tr>
        <w:tc>
          <w:tcPr>
            <w:tcW w:type="dxa" w:w="3360"/>
          </w:tcPr>
          <w:p>
            <w:r/>
            <w:r>
              <w:rPr>
                <w:rFonts w:ascii="Arial" w:hAnsi="Arial"/>
                <w:sz w:val="20"/>
              </w:rPr>
              <w:t>Fraud Flag / MANUAL_REVIEW</w:t>
            </w:r>
          </w:p>
        </w:tc>
        <w:tc>
          <w:tcPr>
            <w:tcW w:type="dxa" w:w="3360"/>
          </w:tcPr>
          <w:p>
            <w:r/>
            <w:r>
              <w:rPr>
                <w:rFonts w:ascii="Arial" w:hAnsi="Arial"/>
                <w:sz w:val="20"/>
              </w:rPr>
              <w:t>The Risk panel shows a fraud_score bar and a list of flags with evidence (e.g. “SAME_DAY_EXCESS: 4 claims today, threshold is 2”). The claim is held at MANUAL_REVIEW status.</w:t>
            </w:r>
          </w:p>
        </w:tc>
        <w:tc>
          <w:tcPr>
            <w:tcW w:type="dxa" w:w="3360"/>
          </w:tcPr>
          <w:p>
            <w:r/>
            <w:r>
              <w:rPr>
                <w:rFonts w:ascii="Arial" w:hAnsi="Arial"/>
                <w:sz w:val="20"/>
              </w:rPr>
              <w:t>Review each flag and the evidence string carefully. If legitimate, click “Approve — Override Risk Flag” and enter a reason note. If fraudulent, click “Reject” and select the rejection reason code. Both actions are stored in the audit trail.</w:t>
            </w:r>
          </w:p>
        </w:tc>
      </w:tr>
      <w:tr>
        <w:tc>
          <w:tcPr>
            <w:tcW w:type="dxa" w:w="3360"/>
          </w:tcPr>
          <w:p>
            <w:r/>
            <w:r>
              <w:rPr>
                <w:rFonts w:ascii="Arial" w:hAnsi="Arial"/>
                <w:sz w:val="20"/>
              </w:rPr>
              <w:t>High-Value Claim (&gt; ₹25,000)</w:t>
            </w:r>
          </w:p>
        </w:tc>
        <w:tc>
          <w:tcPr>
            <w:tcW w:type="dxa" w:w="3360"/>
          </w:tcPr>
          <w:p>
            <w:r/>
            <w:r>
              <w:rPr>
                <w:rFonts w:ascii="Arial" w:hAnsi="Arial"/>
                <w:sz w:val="20"/>
              </w:rPr>
              <w:t>The Adjudication panel shows the full financial breakdown: eligible amount, network discount applied, co-pay deducted, and the approved_amount. The “Confirm &amp; Approve” button is the only way to finalise the decision.</w:t>
            </w:r>
          </w:p>
        </w:tc>
        <w:tc>
          <w:tcPr>
            <w:tcW w:type="dxa" w:w="3360"/>
          </w:tcPr>
          <w:p>
            <w:r/>
            <w:r>
              <w:rPr>
                <w:rFonts w:ascii="Arial" w:hAnsi="Arial"/>
                <w:sz w:val="20"/>
              </w:rPr>
              <w:t>Verify the line-item breakdown matches the uploaded documents. Check the network discount was correctly applied (discount before co-pay, not after). Click “Confirm &amp; Approve” to write the final decision. This action is irreversible from the console and triggers the downstream sync.</w:t>
            </w:r>
          </w:p>
        </w:tc>
      </w:tr>
    </w:tbl>
    <w:p>
      <w:r>
        <w:rPr>
          <w:rFonts w:ascii="Arial" w:hAnsi="Arial"/>
          <w:b/>
          <w:sz w:val="26"/>
        </w:rPr>
        <w:t>16.4 Reading the Audit Trail</w:t>
      </w:r>
    </w:p>
    <w:p>
      <w:r>
        <w:rPr>
          <w:rFonts w:ascii="Arial" w:hAnsi="Arial"/>
          <w:sz w:val="21"/>
        </w:rPr>
        <w:t>For any claim, click the “Audit Trail” tab in the claim detail view. This shows every agent stage in chronological order, including inputs, outputs, confidence scores, extracted field values, policy checks run, and any HITL actions taken. Use the audit trail to answer member queries, validate decisions, and support internal quality audits.</w:t>
      </w:r>
    </w:p>
    <w:p>
      <w:r>
        <w:rPr>
          <w:rFonts w:ascii="Arial" w:hAnsi="Arial"/>
          <w:b/>
          <w:sz w:val="26"/>
        </w:rPr>
        <w:t>16.5 Common Errors &amp; How to Resolve Them</w:t>
      </w:r>
    </w:p>
    <w:tbl>
      <w:tblPr>
        <w:tblW w:type="auto" w:w="0"/>
        <w:tblLook w:firstColumn="1" w:firstRow="1" w:lastColumn="0" w:lastRow="0" w:noHBand="0" w:noVBand="1" w:val="04A0"/>
      </w:tblPr>
      <w:tblGrid>
        <w:gridCol w:w="5040"/>
        <w:gridCol w:w="5040"/>
      </w:tblGrid>
      <w:tr>
        <w:tc>
          <w:tcPr>
            <w:tcW w:type="dxa" w:w="5040"/>
          </w:tcPr>
          <w:p>
            <w:r/>
            <w:r>
              <w:rPr>
                <w:rFonts w:ascii="Arial" w:hAnsi="Arial"/>
                <w:sz w:val="20"/>
              </w:rPr>
              <w:t>Error Code</w:t>
            </w:r>
          </w:p>
        </w:tc>
        <w:tc>
          <w:tcPr>
            <w:tcW w:type="dxa" w:w="5040"/>
          </w:tcPr>
          <w:p>
            <w:r/>
            <w:r>
              <w:rPr>
                <w:rFonts w:ascii="Arial" w:hAnsi="Arial"/>
                <w:sz w:val="20"/>
              </w:rPr>
              <w:t>Resolution</w:t>
            </w:r>
          </w:p>
        </w:tc>
      </w:tr>
      <w:tr>
        <w:tc>
          <w:tcPr>
            <w:tcW w:type="dxa" w:w="5040"/>
          </w:tcPr>
          <w:p>
            <w:r/>
            <w:r>
              <w:rPr>
                <w:rFonts w:ascii="Arial" w:hAnsi="Arial"/>
                <w:sz w:val="20"/>
              </w:rPr>
              <w:t>POLICY_FILE_NOT_FOUND</w:t>
            </w:r>
          </w:p>
        </w:tc>
        <w:tc>
          <w:tcPr>
            <w:tcW w:type="dxa" w:w="5040"/>
          </w:tcPr>
          <w:p>
            <w:r/>
            <w:r>
              <w:rPr>
                <w:rFonts w:ascii="Arial" w:hAnsi="Arial"/>
                <w:sz w:val="20"/>
              </w:rPr>
              <w:t>The policy_terms.json file is missing or unreachable. This is a fatal error that halts the pipeline. Contact the system administrator to restore the policy configuration file. Do not attempt to re-run the pipeline until the file is confirmed present.</w:t>
            </w:r>
          </w:p>
        </w:tc>
      </w:tr>
      <w:tr>
        <w:tc>
          <w:tcPr>
            <w:tcW w:type="dxa" w:w="5040"/>
          </w:tcPr>
          <w:p>
            <w:r/>
            <w:r>
              <w:rPr>
                <w:rFonts w:ascii="Arial" w:hAnsi="Arial"/>
                <w:sz w:val="20"/>
              </w:rPr>
              <w:t>RISK_CHECK_SKIPPED</w:t>
            </w:r>
          </w:p>
        </w:tc>
        <w:tc>
          <w:tcPr>
            <w:tcW w:type="dxa" w:w="5040"/>
          </w:tcPr>
          <w:p>
            <w:r/>
            <w:r>
              <w:rPr>
                <w:rFonts w:ascii="Arial" w:hAnsi="Arial"/>
                <w:sz w:val="20"/>
              </w:rPr>
              <w:t>The Fraud Intelligence DB was unreachable when this claim was processed. The fraud score defaults to 0.0 and the claim confidence is reduced by 0.10. The pipeline continues but the claim is recommended for MANUAL_REVIEW. Review the claim manually before approving. Alert the system admin to restore the Fraud DB connection.</w:t>
            </w:r>
          </w:p>
        </w:tc>
      </w:tr>
      <w:tr>
        <w:tc>
          <w:tcPr>
            <w:tcW w:type="dxa" w:w="5040"/>
          </w:tcPr>
          <w:p>
            <w:r/>
            <w:r>
              <w:rPr>
                <w:rFonts w:ascii="Arial" w:hAnsi="Arial"/>
                <w:sz w:val="20"/>
              </w:rPr>
              <w:t>PATIENT_MISMATCH</w:t>
            </w:r>
          </w:p>
        </w:tc>
        <w:tc>
          <w:tcPr>
            <w:tcW w:type="dxa" w:w="5040"/>
          </w:tcPr>
          <w:p>
            <w:r/>
            <w:r>
              <w:rPr>
                <w:rFonts w:ascii="Arial" w:hAnsi="Arial"/>
                <w:sz w:val="20"/>
              </w:rPr>
              <w:t>Patient names extracted from different documents do not match. The console shows you both names and which documents they came from. If you can visually confirm they refer to the same person (e.g. a name spelling variation), click “Confirm Cross-Match”. If the documents genuinely belong to different patients, click “Reject” and request the member to resubmit with the correct documents.</w:t>
            </w:r>
          </w:p>
        </w:tc>
      </w:tr>
      <w:tr>
        <w:tc>
          <w:tcPr>
            <w:tcW w:type="dxa" w:w="5040"/>
          </w:tcPr>
          <w:p>
            <w:r/>
            <w:r>
              <w:rPr>
                <w:rFonts w:ascii="Arial" w:hAnsi="Arial"/>
                <w:sz w:val="20"/>
              </w:rPr>
              <w:t>IDP_TIMEOUT on a document</w:t>
            </w:r>
          </w:p>
        </w:tc>
        <w:tc>
          <w:tcPr>
            <w:tcW w:type="dxa" w:w="5040"/>
          </w:tcPr>
          <w:p>
            <w:r/>
            <w:r>
              <w:rPr>
                <w:rFonts w:ascii="Arial" w:hAnsi="Arial"/>
                <w:sz w:val="20"/>
              </w:rPr>
              <w:t>One document failed extraction due to an IDP API timeout. The pipeline continues but the confidence score is reduced by 0.15 per affected document. Fields from the failed document are marked EXTRACTION_FAILED. You can manually enter the missing field values by clicking them in the Extraction panel, or click “Re-run Extraction” on that document to try again.</w:t>
            </w:r>
          </w:p>
        </w:tc>
      </w:tr>
    </w:tbl>
    <w:p>
      <w:r>
        <w:rPr>
          <w:rFonts w:ascii="Arial" w:hAnsi="Arial"/>
          <w:b/>
          <w:sz w:val="26"/>
        </w:rPr>
        <w:t>16.6 Best Practices for Ops Users</w:t>
      </w:r>
    </w:p>
    <w:p>
      <w:r>
        <w:rPr>
          <w:rFonts w:ascii="Arial" w:hAnsi="Arial"/>
          <w:sz w:val="21"/>
        </w:rPr>
        <w:t>• Always work through the MANUAL_REVIEW queue before processing new SUBMITTED claims. High-value and flagged claims are time-sensitive and may have SLA timers running.</w:t>
      </w:r>
    </w:p>
    <w:p>
      <w:r>
        <w:rPr>
          <w:rFonts w:ascii="Arial" w:hAnsi="Arial"/>
          <w:sz w:val="21"/>
        </w:rPr>
        <w:t>• When editing an extracted field, always compare against the physical document image shown on screen. Do not edit from memory or from verbal communication with the member. The audit trail captures your user ID and the change you made.</w:t>
      </w:r>
    </w:p>
    <w:p>
      <w:r>
        <w:rPr>
          <w:rFonts w:ascii="Arial" w:hAnsi="Arial"/>
          <w:sz w:val="21"/>
        </w:rPr>
        <w:t>• When sending a resubmission request, always use the auto-populated template and only personalise the greeting. The template is pre-approved language that correctly names the missing document and the required format. Customising the body of the request risks creating inconsistent member communication.</w:t>
      </w:r>
    </w:p>
    <w:p>
      <w:r>
        <w:rPr>
          <w:rFonts w:ascii="Arial" w:hAnsi="Arial"/>
          <w:sz w:val="21"/>
        </w:rPr>
        <w:t>• For high-value approvals, verify the financial calculation order manually before clicking “Confirm &amp; Approve”: network discount is applied first, co-pay is applied second. If the numbers do not match this order, escalate to a senior Ops reviewer before approving.</w:t>
      </w:r>
    </w:p>
    <w:p>
      <w:r>
        <w:rPr>
          <w:rFonts w:ascii="Arial" w:hAnsi="Arial"/>
          <w:sz w:val="21"/>
        </w:rPr>
        <w:t>• If the System Health panel shows any service as RED (not just DEGRADED), do not process claims until the system admin confirms the service has been restored. Processing during a RED service outage may produce unreliable decisions that cannot be automatically reversed.</w:t>
      </w:r>
    </w:p>
    <w:p>
      <w:r>
        <w:rPr>
          <w:rFonts w:ascii="Arial" w:hAnsi="Arial"/>
          <w:sz w:val="21"/>
        </w:rPr>
        <w:t>• Never bypass a MANUAL_REVIEW flag by approving a claim without reading the evidence string. Each flag must be explicitly acknowledged in the console. The system will not allow Confirm &amp; Approve until all open flags have been reviewed and actioned.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space="4"/>
      </w:pBdr>
      <w:spacing w:after="0" w:before="80"/>
      <w:jc w:val="right"/>
    </w:pPr>
    <w:r>
      <w:rPr>
        <w:rFonts w:ascii="Arial" w:cs="Arial" w:eastAsia="Arial" w:hAnsi="Arial"/>
        <w:color w:val="5C6D92"/>
        <w:sz w:val="16"/>
        <w:szCs w:val="16"/>
      </w:rPr>
      <w:t xml:space="preserve">Page </w:t>
    </w:r>
    <w:r>
      <w:rPr>
        <w:rFonts w:ascii="Arial" w:cs="Arial" w:eastAsia="Arial" w:hAnsi="Arial"/>
        <w:color w:val="5C6D9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spacing w:after="80" w:before="0"/>
    </w:pPr>
    <w:r>
      <w:rPr>
        <w:rFonts w:ascii="Arial" w:cs="Arial" w:eastAsia="Arial" w:hAnsi="Arial"/>
        <w:color w:val="5C6D92"/>
        <w:sz w:val="16"/>
        <w:szCs w:val="16"/>
      </w:rPr>
      <w:t xml:space="preserve">Plum OPS Platform  |  Architecture &amp; System Design Document</w:t>
    </w:r>
    <w:r>
      <w:rPr>
        <w:rFonts w:ascii="Arial" w:cs="Arial" w:eastAsia="Arial" w:hAnsi="Arial"/>
        <w:i/>
        <w:iCs/>
        <w:color w:val="5C6D92"/>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E1B4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06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4D7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2026-06-08T02:16:18.233Z</dcterms:created>
  <dcterms:modified xsi:type="dcterms:W3CDTF">2026-06-08T02:16:18.247Z</dcterms:modified>
</cp:coreProperties>
</file>

<file path=docProps/custom.xml><?xml version="1.0" encoding="utf-8"?>
<Properties xmlns="http://schemas.openxmlformats.org/officeDocument/2006/custom-properties" xmlns:vt="http://schemas.openxmlformats.org/officeDocument/2006/docPropsVTypes"/>
</file>