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GCC Database — Go-Live Decisions Required</w:t>
      </w:r>
    </w:p>
    <w:p>
      <w:r>
        <w:rPr>
          <w:b/>
        </w:rPr>
        <w:t>Prepared by:</w:t>
      </w:r>
      <w:r>
        <w:t xml:space="preserve"> Anuki Consulting · </w:t>
      </w:r>
      <w:r>
        <w:rPr>
          <w:b/>
        </w:rPr>
        <w:t>Date:</w:t>
      </w:r>
      <w:r>
        <w:t xml:space="preserve"> 21 September 2026</w:t>
      </w:r>
    </w:p>
    <w:p>
      <w:r>
        <w:rPr>
          <w:b/>
        </w:rPr>
        <w:t>Subject:</w:t>
      </w:r>
      <w:r>
        <w:t xml:space="preserve"> GCC Database go-live — seven decisions we need by Friday 26 September</w:t>
      </w:r>
    </w:p>
    <w:p>
      <w:r>
        <w:t>Hello,</w:t>
      </w:r>
    </w:p>
    <w:p>
      <w:r>
        <w:t xml:space="preserve">We have a go-live plan ready and are proposing </w:t>
      </w:r>
      <w:r>
        <w:rPr>
          <w:b/>
        </w:rPr>
        <w:t>Tuesday 13 October</w:t>
      </w:r>
      <w:r>
        <w:t xml:space="preserve"> for the switchover, with Tuesday 20 October as the fallback. The full schedule is attached.</w:t>
      </w:r>
    </w:p>
    <w:p>
      <w:r>
        <w:t>Seven things need a decision from your side before we can commit to those dates. They are listed in order of how much of the schedule each one holds up. Most are quick; two are not, and I have flagged those.</w:t>
      </w:r>
    </w:p>
    <w:p>
      <w:r>
        <w:t>None of them require technical knowledge to answer — where a decision has a trade-off, I have set out the options and our recommendation.</w:t>
      </w:r>
    </w:p>
    <w:p>
      <w:r>
        <w:rPr>
          <w:color w:val="CCCCCC"/>
        </w:rPr>
        <w:t>────────────────────────────────────────────────────────────</w:t>
      </w:r>
    </w:p>
    <w:p>
      <w:pPr>
        <w:pStyle w:val="Heading1"/>
      </w:pPr>
      <w:r>
        <w:t>1. Who changes the DNS settings for greencirclecertified.com?</w:t>
      </w:r>
    </w:p>
    <w:p>
      <w:r>
        <w:rPr>
          <w:b/>
        </w:rPr>
        <w:t>What we need:</w:t>
      </w:r>
      <w:r>
        <w:t xml:space="preserve"> confirmation of whether your team makes the domain changes, or whether we are given access to make them.</w:t>
      </w:r>
    </w:p>
    <w:p>
      <w:r>
        <w:t xml:space="preserve">Your domain records are managed at </w:t>
      </w:r>
      <w:r>
        <w:rPr>
          <w:b/>
        </w:rPr>
        <w:t>HostMonster</w:t>
      </w:r>
      <w:r>
        <w:t>. On go-live morning, one setting there is changed and that single change is what moves the database to the new system. We need to know who has that login and who is available on the day.</w:t>
      </w:r>
    </w:p>
    <w:p>
      <w:r>
        <w:t>There is also a small related task the day before: adding one text record so the security certificate can be issued ahead of time rather than during the switchover itself. That takes the riskiest step off the critical path.</w:t>
      </w:r>
    </w:p>
    <w:p>
      <w:r>
        <w:rPr>
          <w:b/>
        </w:rPr>
        <w:t>Why it matters:</w:t>
      </w:r>
      <w:r>
        <w:t xml:space="preserve"> every other step depends on this one. It is the only item that could move the date on its own.</w:t>
      </w:r>
    </w:p>
    <w:p>
      <w:pPr>
        <w:pStyle w:val="Heading1"/>
      </w:pPr>
      <w:r>
        <w:t>2. What is the last certificate number issued in the current system?</w:t>
      </w:r>
    </w:p>
    <w:p>
      <w:r>
        <w:rPr>
          <w:b/>
        </w:rPr>
        <w:t>What we need:</w:t>
      </w:r>
      <w:r>
        <w:t xml:space="preserve"> the most recent certificate number you have issued, in writing — including any drafts in progress.</w:t>
      </w:r>
    </w:p>
    <w:p>
      <w:r>
        <w:t xml:space="preserve">The new system generates the next certificate number automatically, by continuing from the highest number it can see. The records we were given to load stop at </w:t>
      </w:r>
      <w:r>
        <w:rPr>
          <w:b/>
        </w:rPr>
        <w:t>26-0481</w:t>
      </w:r>
      <w:r>
        <w:t xml:space="preserve">, so left alone the new system would issue </w:t>
      </w:r>
      <w:r>
        <w:rPr>
          <w:b/>
        </w:rPr>
        <w:t>26-0482</w:t>
      </w:r>
      <w:r>
        <w:t xml:space="preserve"> next. Our reading of your live system is that you have already issued well past that, into the </w:t>
      </w:r>
      <w:r>
        <w:rPr>
          <w:b/>
        </w:rPr>
        <w:t>26-05xx</w:t>
      </w:r>
      <w:r>
        <w:t xml:space="preserve"> range.</w:t>
      </w:r>
    </w:p>
    <w:p>
      <w:r>
        <w:t>If that is right, the new system would reissue roughly a hundred numbers that already belong to other certificates. The problem would not show up on day one — it would surface weeks later as certificates that cannot be saved because their number is already taken.</w:t>
      </w:r>
    </w:p>
    <w:p>
      <w:r>
        <w:rPr>
          <w:b/>
        </w:rPr>
        <w:t>The cleanest fix</w:t>
      </w:r>
      <w:r>
        <w:t xml:space="preserve"> is to include your in-progress drafts in the final data pull. Loading them as drafts makes the numbering correct automatically, with nothing for anyone to remember.</w:t>
      </w:r>
    </w:p>
    <w:p>
      <w:r>
        <w:rPr>
          <w:b/>
        </w:rPr>
        <w:t>Why it matters:</w:t>
      </w:r>
      <w:r>
        <w:t xml:space="preserve"> this is the one item where being wrong is expensive and the damage is delayed.</w:t>
      </w:r>
    </w:p>
    <w:p>
      <w:pPr>
        <w:pStyle w:val="Heading1"/>
      </w:pPr>
      <w:r>
        <w:t>3. The 174 certificates that were not in the migration files — follow-up to 12 August</w:t>
      </w:r>
    </w:p>
    <w:p>
      <w:r>
        <w:rPr>
          <w:b/>
        </w:rPr>
        <w:t>What we need:</w:t>
      </w:r>
      <w:r>
        <w:t xml:space="preserve"> confirmation of which of these should be loaded.</w:t>
      </w:r>
    </w:p>
    <w:p>
      <w:r>
        <w:t xml:space="preserve">We raised this on </w:t>
      </w:r>
      <w:r>
        <w:rPr>
          <w:b/>
        </w:rPr>
        <w:t>12 August</w:t>
      </w:r>
      <w:r>
        <w:t xml:space="preserve"> and I do not believe we have had an answer, so I am repeating it here rather than assuming.</w:t>
      </w:r>
    </w:p>
    <w:p>
      <w:r>
        <w:t xml:space="preserve">When we compared your </w:t>
      </w:r>
      <w:r>
        <w:rPr>
          <w:b/>
        </w:rPr>
        <w:t>Full List</w:t>
      </w:r>
      <w:r>
        <w:t xml:space="preserve"> tab against the three lists we were asked to load, </w:t>
      </w:r>
      <w:r>
        <w:rPr>
          <w:b/>
        </w:rPr>
        <w:t>174 certificates appear in the Full List and in none of the load lists</w:t>
      </w:r>
      <w:r>
        <w: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r>
          </w:p>
        </w:tc>
        <w:tc>
          <w:tcPr>
            <w:tcW w:type="dxa" w:w="2880"/>
          </w:tcPr>
          <w:p>
            <w:r/>
            <w:r>
              <w:rPr>
                <w:b/>
              </w:rPr>
              <w:t>Count</w:t>
            </w:r>
          </w:p>
        </w:tc>
        <w:tc>
          <w:tcPr>
            <w:tcW w:type="dxa" w:w="2880"/>
          </w:tcPr>
          <w:p>
            <w:r/>
            <w:r>
              <w:rPr>
                <w:b/>
              </w:rPr>
              <w:t>Note</w:t>
            </w:r>
          </w:p>
        </w:tc>
      </w:tr>
      <w:tr>
        <w:tc>
          <w:tcPr>
            <w:tcW w:type="dxa" w:w="2880"/>
          </w:tcPr>
          <w:p>
            <w:r/>
            <w:r>
              <w:rPr>
                <w:b/>
              </w:rPr>
              <w:t>Client Approved – Paid</w:t>
            </w:r>
          </w:p>
        </w:tc>
        <w:tc>
          <w:tcPr>
            <w:tcW w:type="dxa" w:w="2880"/>
          </w:tcPr>
          <w:p>
            <w:r/>
            <w:r>
              <w:rPr>
                <w:b/>
              </w:rPr>
              <w:t>51</w:t>
            </w:r>
          </w:p>
        </w:tc>
        <w:tc>
          <w:tcPr>
            <w:tcW w:type="dxa" w:w="2880"/>
          </w:tcPr>
          <w:p>
            <w:r/>
            <w:r>
              <w:rPr>
                <w:b/>
              </w:rPr>
              <w:t>We confirmed 50 of these are publicly visible on your current database today</w:t>
            </w:r>
          </w:p>
        </w:tc>
      </w:tr>
      <w:tr>
        <w:tc>
          <w:tcPr>
            <w:tcW w:type="dxa" w:w="2880"/>
          </w:tcPr>
          <w:p>
            <w:r/>
            <w:r>
              <w:t>Expired</w:t>
            </w:r>
          </w:p>
        </w:tc>
        <w:tc>
          <w:tcPr>
            <w:tcW w:type="dxa" w:w="2880"/>
          </w:tcPr>
          <w:p>
            <w:r/>
            <w:r>
              <w:t>26</w:t>
            </w:r>
          </w:p>
        </w:tc>
        <w:tc>
          <w:tcPr>
            <w:tcW w:type="dxa" w:w="2880"/>
          </w:tcPr>
          <w:p>
            <w:r/>
          </w:p>
        </w:tc>
      </w:tr>
      <w:tr>
        <w:tc>
          <w:tcPr>
            <w:tcW w:type="dxa" w:w="2880"/>
          </w:tcPr>
          <w:p>
            <w:r/>
            <w:r>
              <w:t>Draft – Internal</w:t>
            </w:r>
          </w:p>
        </w:tc>
        <w:tc>
          <w:tcPr>
            <w:tcW w:type="dxa" w:w="2880"/>
          </w:tcPr>
          <w:p>
            <w:r/>
            <w:r>
              <w:t>96</w:t>
            </w:r>
          </w:p>
        </w:tc>
        <w:tc>
          <w:tcPr>
            <w:tcW w:type="dxa" w:w="2880"/>
          </w:tcPr>
          <w:p>
            <w:r/>
          </w:p>
        </w:tc>
      </w:tr>
      <w:tr>
        <w:tc>
          <w:tcPr>
            <w:tcW w:type="dxa" w:w="2880"/>
          </w:tcPr>
          <w:p>
            <w:r/>
            <w:r>
              <w:t>Draft – Client</w:t>
            </w:r>
          </w:p>
        </w:tc>
        <w:tc>
          <w:tcPr>
            <w:tcW w:type="dxa" w:w="2880"/>
          </w:tcPr>
          <w:p>
            <w:r/>
            <w:r>
              <w:t>1</w:t>
            </w:r>
          </w:p>
        </w:tc>
        <w:tc>
          <w:tcPr>
            <w:tcW w:type="dxa" w:w="2880"/>
          </w:tcPr>
          <w:p>
            <w:r/>
          </w:p>
        </w:tc>
      </w:tr>
    </w:tbl>
    <w:p/>
    <w:p>
      <w:r>
        <w:t xml:space="preserve">The </w:t>
      </w:r>
      <w:r>
        <w:rPr>
          <w:b/>
        </w:rPr>
        <w:t>51</w:t>
      </w:r>
      <w:r>
        <w:t xml:space="preserve"> are the ones that matter. They are live, paid certificates — mostly ASSA ABLOY brands (Corbin Russwin, SARGENT, Malarkey, Pioneer, McKinney, ACCENTRA, Greenfield). Eleven of them also appear on your Hold List marked "Keep".</w:t>
      </w:r>
    </w:p>
    <w:p>
      <w:r>
        <w:rPr>
          <w:b/>
        </w:rPr>
        <w:t>If we load exactly what was sent, those 51 certificates will not exist in the new system</w:t>
      </w:r>
      <w:r>
        <w:t>, and they will disappear from public view at go-live.</w:t>
      </w:r>
    </w:p>
    <w:p>
      <w:r>
        <w:rPr>
          <w:b/>
        </w:rPr>
        <w:t>One related detail, also for your decision.</w:t>
      </w:r>
      <w:r>
        <w:t xml:space="preserve"> One certificate in your records — Interface, "Carpet tile on CQuest GB Backing", Closed Loop Product, expired December 2025 — </w:t>
      </w:r>
      <w:r>
        <w:rPr>
          <w:b/>
        </w:rPr>
        <w:t>has no certificate number at all</w:t>
      </w:r>
      <w:r>
        <w:t>, in your current system or in the spreadsheet. Because the new system identifies every certificate by its number, this one cannot be loaded or linked as things stand. Would you like a number issued for it, or should it be left behind?</w:t>
      </w:r>
    </w:p>
    <w:p>
      <w:r>
        <w:rPr>
          <w:b/>
        </w:rPr>
        <w:t>Why it matters:</w:t>
      </w:r>
      <w:r>
        <w:t xml:space="preserve"> this is the only item on the list where doing nothing means live certificates quietly vanish.</w:t>
      </w:r>
    </w:p>
    <w:p>
      <w:pPr>
        <w:pStyle w:val="Heading1"/>
      </w:pPr>
      <w:r>
        <w:t>4. Change freeze and the go-live hour</w:t>
      </w:r>
    </w:p>
    <w:p>
      <w:r>
        <w:rPr>
          <w:b/>
        </w:rPr>
        <w:t>What we need:</w:t>
      </w:r>
      <w:r>
        <w:t xml:space="preserve"> a cut-off date and time after which no new certificates are entered into the current system, and confirmation of what hour on 13 October suits your team.</w:t>
      </w:r>
    </w:p>
    <w:p>
      <w:r>
        <w:t>Since the last data load on 3 September, certificates have been entered into both systems. We need a clean stopping point so the final catch-up load is complete and nothing is entered twice.</w:t>
      </w:r>
    </w:p>
    <w:p>
      <w:r>
        <w:t xml:space="preserve">We would suggest starting at </w:t>
      </w:r>
      <w:r>
        <w:rPr>
          <w:b/>
        </w:rPr>
        <w:t>9:00 am</w:t>
      </w:r>
      <w:r>
        <w:t xml:space="preserve"> on the day. The switch itself takes about two hours, and the change reaches everyone within a few minutes of the record being updated.</w:t>
      </w:r>
    </w:p>
    <w:p>
      <w:pPr>
        <w:pStyle w:val="Heading1"/>
      </w:pPr>
      <w:r>
        <w:t>5. Review dates and sign-off</w:t>
      </w:r>
    </w:p>
    <w:p>
      <w:r>
        <w:rPr>
          <w:b/>
        </w:rPr>
        <w:t>What we need:</w:t>
      </w:r>
      <w:r>
        <w:t xml:space="preserve"> who tests, and who signs off, for each of the three roles — Administrator, Analyst, and Company user.</w:t>
      </w:r>
    </w:p>
    <w:p>
      <w:r>
        <w:t xml:space="preserve">We have reserved </w:t>
      </w:r>
      <w:r>
        <w:rPr>
          <w:b/>
        </w:rPr>
        <w:t>6–10 October</w:t>
      </w:r>
      <w:r>
        <w:t xml:space="preserve"> for your review, with written sign-off on </w:t>
      </w:r>
      <w:r>
        <w:rPr>
          <w:b/>
        </w:rPr>
        <w:t>Friday 10 October</w:t>
      </w:r>
      <w:r>
        <w:t>. We will provide a user guide for each role beforehand.</w:t>
      </w:r>
    </w:p>
    <w:p>
      <w:r>
        <w:rPr>
          <w:b/>
        </w:rPr>
        <w:t>Why it matters:</w:t>
      </w:r>
      <w:r>
        <w:t xml:space="preserve"> if sign-off slips past 10 October we move to the 20th rather than compress testing. We would rather shift the date than shorten the review.</w:t>
      </w:r>
    </w:p>
    <w:p>
      <w:pPr>
        <w:pStyle w:val="Heading1"/>
      </w:pPr>
      <w:r>
        <w:t>6. How much notice does Amazon require?</w:t>
      </w:r>
    </w:p>
    <w:p>
      <w:r>
        <w:rPr>
          <w:b/>
        </w:rPr>
        <w:t>What we need:</w:t>
      </w:r>
      <w:r>
        <w:t xml:space="preserve"> Amazon's required notice period for a change to the web address in the data feed.</w:t>
      </w:r>
    </w:p>
    <w:p>
      <w:r>
        <w:t>Amazon's integration reads each certificate's web address out of the feed we provide. That address changes at go-live. The change itself is routine — it should not be a surprise to them.</w:t>
      </w:r>
    </w:p>
    <w:p>
      <w:pPr>
        <w:pStyle w:val="Heading1"/>
      </w:pPr>
      <w:r>
        <w:t>7. Please keep the existing database platform running for 30 days</w:t>
      </w:r>
    </w:p>
    <w:p>
      <w:r>
        <w:rPr>
          <w:b/>
        </w:rPr>
        <w:t>What we need:</w:t>
      </w:r>
      <w:r>
        <w:t xml:space="preserve"> your agreement to leave the current platform in place — not serving visitors, just not deleted — for 30 days after go-live, and confirmation of who owns its data export and eventual shutdown.</w:t>
      </w:r>
    </w:p>
    <w:p>
      <w:r>
        <w:rPr>
          <w:b/>
        </w:rPr>
        <w:t>Why it matters:</w:t>
      </w:r>
      <w:r>
        <w:t xml:space="preserve"> it is a safety net. We do not expect to need it, and we would much rather have it and not use it.</w:t>
      </w:r>
    </w:p>
    <w:p>
      <w:r>
        <w:rPr>
          <w:color w:val="CCCCCC"/>
        </w:rPr>
        <w:t>────────────────────────────────────────────────────────────</w:t>
      </w:r>
    </w:p>
    <w:p>
      <w:pPr>
        <w:pStyle w:val="Heading1"/>
      </w:pPr>
      <w:r>
        <w:t>What happens to existing links</w:t>
      </w:r>
    </w:p>
    <w:p>
      <w:r>
        <w:t>Worth stating plainly, because it is the question most people ask:</w:t>
      </w:r>
    </w:p>
    <w:p>
      <w:pPr>
        <w:pStyle w:val="ListBullet"/>
      </w:pPr>
      <w:r>
        <w:rPr>
          <w:b/>
        </w:rPr>
        <w:t>Nothing changes before go-live day.</w:t>
      </w:r>
      <w:r>
        <w:t xml:space="preserve"> Every step until then happens on our side, invisibly. The</w:t>
      </w:r>
    </w:p>
    <w:p>
      <w:r>
        <w:t xml:space="preserve">  current database keeps running exactly as it does now.</w:t>
      </w:r>
    </w:p>
    <w:p>
      <w:pPr>
        <w:pStyle w:val="ListBullet"/>
      </w:pPr>
      <w:r>
        <w:rPr>
          <w:b/>
        </w:rPr>
        <w:t>Existing links keep working afterwards.</w:t>
      </w:r>
      <w:r>
        <w:t xml:space="preserve"> Links your team has emailed, printed or bookmarked —</w:t>
      </w:r>
    </w:p>
    <w:p>
      <w:r>
        <w:t xml:space="preserve">  including links to individual certificates — are forwarded automatically to the matching   certificate in the new system. We have built and tested that forwarding for </w:t>
      </w:r>
      <w:r>
        <w:rPr>
          <w:b/>
        </w:rPr>
        <w:t>5,999 certificate   records</w:t>
      </w:r>
      <w:r>
        <w:t>, and we will check a sample of it before anything is switched.</w:t>
      </w:r>
    </w:p>
    <w:p>
      <w:r>
        <w:t>If something is wrong on the day, we reverse a single setting and the current system comes straight back. Recovery is minutes, and we never modify the existing site, so there is nothing to undo.</w:t>
      </w:r>
    </w:p>
    <w:p>
      <w:r>
        <w:rPr>
          <w:color w:val="CCCCCC"/>
        </w:rPr>
        <w:t>────────────────────────────────────────────────────────────</w:t>
      </w:r>
    </w:p>
    <w:p>
      <w:r>
        <w:rPr>
          <w:b/>
        </w:rPr>
        <w:t>Our ask:</w:t>
      </w:r>
      <w:r>
        <w:t xml:space="preserve"> answers to items 1 and 2 by </w:t>
      </w:r>
      <w:r>
        <w:rPr>
          <w:b/>
        </w:rPr>
        <w:t>Friday 26 September</w:t>
      </w:r>
      <w:r>
        <w:t xml:space="preserve">, and the rest by </w:t>
      </w:r>
      <w:r>
        <w:rPr>
          <w:b/>
        </w:rPr>
        <w:t>Friday 3 October</w:t>
      </w:r>
      <w:r>
        <w:t>. If items 1 or 2 are still open on 3 October, we would move to the 20 October date rather than run the switchover with them unresolved.</w:t>
      </w:r>
    </w:p>
    <w:p>
      <w:r>
        <w:t>Happy to walk through any of this on a call — several of these are faster discussed than written.</w:t>
      </w:r>
    </w:p>
    <w:p>
      <w:r>
        <w:t>Best regards,</w:t>
      </w:r>
    </w:p>
    <w:p>
      <w:r>
        <w:rPr>
          <w:b/>
        </w:rPr>
        <w:t>Anuki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