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 1.2</w:t>
      </w:r>
      <w:r>
        <w:rPr>
          <w:rFonts w:ascii="Segoe UI" w:eastAsia="Times New Roman" w:hAnsi="Segoe UI" w:cs="Segoe UI"/>
          <w:color w:val="444444"/>
          <w:sz w:val="19"/>
          <w:szCs w:val="19"/>
          <w:lang w:val="en"/>
        </w:rPr>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E4D7641"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1. Fill every [HIGHLIGHTED PLACEHOLDER]. </w:t>
      </w:r>
      <w:r>
        <w:rPr>
          <w:rFonts w:ascii="Segoe UI" w:eastAsia="Times New Roman" w:hAnsi="Segoe UI" w:cs="Segoe UI"/>
          <w:color w:val="1A1A1A"/>
          <w:sz w:val="18"/>
          <w:szCs w:val="18"/>
          <w:lang w:val="en"/>
        </w:rPr>
        <w:t xml:space="preserve">Only THREE values genuinely vary per partner: the partner name, the API key itself, and the key's expiry date. Rate limit and permitted endpoints are system-wide settings, not per-key, and are already filled in — do not treat them as blanks. Generate the key yourself in the application: Admin → Partner API Access → Generate Key, which asks only for Partner (required), an optional Description and an optional Expiration Date. Copy the key from the confirmation panel and send it to the partner by secure channel. A key returns an empty list until certificates are tagged to that partner, so tag them first. See </w:t>
      </w:r>
      <w:r>
        <w:rPr>
          <w:rFonts w:ascii="Segoe UI" w:eastAsia="Times New Roman" w:hAnsi="Segoe UI" w:cs="Segoe UI"/>
          <w:color w:val="1A1A1A"/>
          <w:sz w:val="18"/>
          <w:szCs w:val="18"/>
          <w:lang w:val="en"/>
        </w:rPr>
        <w:t xml:space="preserve">Section 2 </w:t>
      </w:r>
      <w:r>
        <w:rPr>
          <w:rFonts w:ascii="Segoe UI" w:eastAsia="Times New Roman" w:hAnsi="Segoe UI" w:cs="Segoe UI"/>
          <w:color w:val="1A1A1A"/>
          <w:sz w:val="18"/>
          <w:szCs w:val="18"/>
          <w:lang w:val="en"/>
        </w:rPr>
        <w:t>for what each row means. Check the partner name and expiry against the key you actually issued rather than copying them from a previous partner's guide.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2. Confirm the Section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Section 4 states this plainly; make sure the partner has read it before they build against it.</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3. Never paste a live API key into this document. Keys are delivered separately by secure channel (see Section 2). This document is circulated by email and forwarded internally by partners; a key printed in it is a key you will have to rotate.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4. Record the issue in the internal issuance log, including the rate limit and endpoint scope this partner's copy states. If that </w:t>
      </w:r>
      <w:r w:rsidR="00355131">
        <w:rPr>
          <w:rFonts w:ascii="Segoe UI" w:eastAsia="Times New Roman" w:hAnsi="Segoe UI" w:cs="Segoe UI"/>
          <w:color w:val="1A1A1A"/>
          <w:sz w:val="18"/>
          <w:szCs w:val="18"/>
          <w:lang w:val="en"/>
        </w:rPr>
        <w:t>behavior</w:t>
      </w:r>
      <w:r>
        <w:rPr>
          <w:rFonts w:ascii="Segoe UI" w:eastAsia="Times New Roman" w:hAnsi="Segoe UI" w:cs="Segoe UI"/>
          <w:color w:val="1A1A1A"/>
          <w:sz w:val="18"/>
          <w:szCs w:val="18"/>
          <w:lang w:val="en"/>
        </w:rPr>
        <w:t xml:space="preserve"> later changes, the log is the only way to know whose copy became wrong.</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The base URL is not a placeholder. The production host is database.greencirclecertified.com — a dedicated subdomain, because the application cannot be hosted on the same server as the main website. The former greencirclecertified.com/database path is retired and was never activated. It is the same for every partner; only the key, rate limit, scope and expiry vary. NOT YET LIVE — database.greencirclecertified.com still serves the previous certificate database and does not serve this API. Until cutover is confirmed, keep the Base URL row marked “available at go-live” and point the partner at the Test base URL, dbtest.greencirclecertified.com, which is live now. Delete this sentence once cutover is verified.</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Available at go-live. This hostname is not serving this API yet — until GCC confirms cutover, use the Test base URL below for all integration work.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Section 10 step 3]</w:t>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+ 64-character hash, delivered separately by secure channel — never in this document</w:t>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 xml:space="preserve">200 </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requests per hour — see Section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see Section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All endpoints in Section 3</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r>
              <w:rPr>
                <w:rFonts w:ascii="Segoe UI" w:eastAsia="Times New Roman" w:hAnsi="Segoe UI" w:cs="Segoe UI"/>
                <w:color w:val="1A1A1A"/>
                <w:sz w:val="18"/>
                <w:szCs w:val="18"/>
              </w:rPr>
              <w:t>Section 8</w:t>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"https://dbtest.greencirclecertified.com/api/v1/certificates/gs1"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  This example uses the TEST host, which is live now. At go-live, change the hostname to the production Base URL in Section 2 — the paths, the X-API-Key header and the response are identical, so nothing else in your integration changes.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w:t>
        </w:r>
        <w:r>
          <w:rPr>
            <w:rStyle w:val="Hyperlink"/>
            <w:rFonts w:ascii="Segoe UI" w:hAnsi="Segoe UI" w:cs="Segoe UI"/>
            <w:sz w:val="20"/>
            <w:szCs w:val="20"/>
            <w:lang w:val="en"/>
          </w:rPr>
          <w:t>n</w:t>
        </w:r>
        <w:r>
          <w:rPr>
            <w:rStyle w:val="Hyperlink"/>
            <w:rFonts w:ascii="Segoe UI" w:hAnsi="Segoe UI" w:cs="Segoe UI"/>
            <w:sz w:val="20"/>
            <w:szCs w:val="20"/>
            <w:lang w:val="en"/>
          </w:rPr>
          <w:t>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 This is the partner name exactly as GCC holds it — not a free-text label — and it is the same name that determines which certificates your key can see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r>
              <w:rPr>
                <w:rStyle w:val="HTMLCode"/>
                <w:color w:val="1A1A1A"/>
              </w:rPr>
              <w:t>amazonCode</w:t>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 — the same partner name as above</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 xml:space="preserve">  "amazonCode": "greencircle_sustainable_energy_practices",</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Section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Section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/api/v1/certificates?includeProductIds=true&amp;pageNumber=1&amp;pageSize=100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/api/v1/certificates?includeProductIds=true&amp;pageNumber=2&amp;pageSize=100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Section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Section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(Section 4) is sufficient for this partner's use case — a claim-validation partner may need Valid / Expired / Revoked as distinct values, which is not part of the current contract. Confirm the rate limit stated in Section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GCC Database Partner API — Partner Integration Guide — v1.2 — [MONTH YEAR]</w:t>
        <w:br/>
        <w:t xml:space="preserve">© [YEAR] GreenCircle Certified. All rights reserved. </w:t>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p>
    <w:sectPr w:rsidR="00AB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3333</Words>
  <Characters>20566</Characters>
  <Application>Microsoft Office Word</Application>
  <DocSecurity>0</DocSecurity>
  <Lines>685</Lines>
  <Paragraphs>597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Carly Povilaitis</cp:lastModifiedBy>
  <cp:revision>3</cp:revision>
  <dcterms:created xsi:type="dcterms:W3CDTF">2026-08-14T20:31:00Z</dcterms:created>
  <dcterms:modified xsi:type="dcterms:W3CDTF">2026-08-28T15:38:00Z</dcterms:modified>
</cp:coreProperties>
</file>