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i w:val="0"/>
          <w:color w:val="1F4D38"/>
          <w:sz w:val="18"/>
        </w:rPr>
        <w:t>ANUKI CONSULTING</w:t>
      </w:r>
    </w:p>
    <w:p>
      <w:pPr>
        <w:spacing w:after="280"/>
      </w:pPr>
      <w:r>
        <w:rPr>
          <w:rFonts w:ascii="Calibri" w:hAnsi="Calibri"/>
          <w:b w:val="0"/>
          <w:i w:val="0"/>
          <w:color w:val="4A5550"/>
          <w:sz w:val="18"/>
        </w:rPr>
        <w:t>GreenCircle Certified — Database Project</w:t>
      </w:r>
    </w:p>
    <w:p>
      <w:pPr>
        <w:spacing w:after="80"/>
        <w:pBdr>
          <w:bottom w:val="single" w:sz="12" w:space="4" w:color="1F4D38"/>
        </w:pBdr>
      </w:pPr>
      <w:r>
        <w:rPr>
          <w:rFonts w:ascii="Georgia" w:hAnsi="Georgia"/>
          <w:b/>
          <w:color w:val="1F4D38"/>
          <w:sz w:val="38"/>
        </w:rPr>
        <w:t>Certificate counts from your 27 August review, and where the four untagged certificates are</w:t>
      </w:r>
    </w:p>
    <w:p>
      <w:pPr>
        <w:spacing w:after="120"/>
      </w:pPr>
    </w:p>
    <w:p>
      <w:pPr>
        <w:spacing w:after="160"/>
      </w:pPr>
      <w:r>
        <w:rPr>
          <w:rFonts w:ascii="Calibri" w:hAnsi="Calibri"/>
          <w:b w:val="0"/>
          <w:i w:val="0"/>
          <w:color w:val="1A1A1A"/>
          <w:sz w:val="21"/>
        </w:rPr>
        <w:t xml:space="preserve">Thank you — that closes two of the open items. Answers to your questions below, and the updated verification workbook is attached. It is the same workbook as August, with </w:t>
      </w:r>
      <w:r>
        <w:rPr>
          <w:rFonts w:ascii="Calibri" w:hAnsi="Calibri"/>
          <w:b/>
          <w:i w:val="0"/>
          <w:color w:val="1A1A1A"/>
          <w:sz w:val="21"/>
        </w:rPr>
        <w:t>four new tabs</w:t>
      </w:r>
      <w:r>
        <w:rPr>
          <w:rFonts w:ascii="Calibri" w:hAnsi="Calibri"/>
          <w:b w:val="0"/>
          <w:i w:val="0"/>
          <w:color w:val="1A1A1A"/>
          <w:sz w:val="21"/>
        </w:rPr>
        <w:t>: No Partner, Partner Coverage, Active - No Partner, and Amazon - No Identifiers. Every other tab is untouched, so the figures you already have in writing still line up.</w:t>
      </w:r>
    </w:p>
    <w:p>
      <w:pPr>
        <w:keepNext/>
        <w:spacing w:before="320" w:after="40"/>
        <w:pBdr>
          <w:bottom w:val="single" w:sz="8" w:space="4" w:color="1F4D38"/>
        </w:pBdr>
      </w:pPr>
      <w:r>
        <w:rPr>
          <w:rFonts w:ascii="Georgia" w:hAnsi="Georgia"/>
          <w:b/>
          <w:color w:val="1F4D38"/>
          <w:sz w:val="28"/>
        </w:rPr>
        <w:t>1. Where you can see the four certificates</w:t>
      </w:r>
    </w:p>
    <w:p>
      <w:pPr>
        <w:spacing w:after="160"/>
      </w:pPr>
      <w:r>
        <w:rPr>
          <w:rFonts w:ascii="Calibri" w:hAnsi="Calibri"/>
          <w:b w:val="0"/>
          <w:i w:val="0"/>
          <w:color w:val="1A1A1A"/>
          <w:sz w:val="21"/>
        </w:rPr>
        <w:t xml:space="preserve">You could not see them, and that is on us. In August we gave you the </w:t>
      </w:r>
      <w:r>
        <w:rPr>
          <w:rFonts w:ascii="Calibri" w:hAnsi="Calibri"/>
          <w:b/>
          <w:i w:val="0"/>
          <w:color w:val="1A1A1A"/>
          <w:sz w:val="21"/>
        </w:rPr>
        <w:t>number</w:t>
      </w:r>
      <w:r>
        <w:rPr>
          <w:rFonts w:ascii="Calibri" w:hAnsi="Calibri"/>
          <w:b w:val="0"/>
          <w:i w:val="0"/>
          <w:color w:val="1A1A1A"/>
          <w:sz w:val="21"/>
        </w:rPr>
        <w:t xml:space="preserve"> — four certificates carrying product identifiers but no partner — and never gave you the list. There was no tab for it in the workbook, and there is no way to find them on the site either: </w:t>
      </w:r>
      <w:r>
        <w:rPr>
          <w:rFonts w:ascii="Calibri" w:hAnsi="Calibri"/>
          <w:b/>
          <w:i w:val="0"/>
          <w:color w:val="1A1A1A"/>
          <w:sz w:val="21"/>
        </w:rPr>
        <w:t>5,458 certificates have no partner</w:t>
      </w:r>
      <w:r>
        <w:rPr>
          <w:rFonts w:ascii="Calibri" w:hAnsi="Calibri"/>
          <w:b w:val="0"/>
          <w:i w:val="0"/>
          <w:color w:val="1A1A1A"/>
          <w:sz w:val="21"/>
        </w:rPr>
        <w:t xml:space="preserve">, so filtering on that alone returns thousands. These four are the only ones that have </w:t>
      </w:r>
      <w:r>
        <w:rPr>
          <w:rFonts w:ascii="Calibri" w:hAnsi="Calibri"/>
          <w:b/>
          <w:i w:val="0"/>
          <w:color w:val="1A1A1A"/>
          <w:sz w:val="21"/>
        </w:rPr>
        <w:t>identifiers and no partner</w:t>
      </w:r>
      <w:r>
        <w:rPr>
          <w:rFonts w:ascii="Calibri" w:hAnsi="Calibri"/>
          <w:b w:val="0"/>
          <w:i w:val="0"/>
          <w:color w:val="1A1A1A"/>
          <w:sz w:val="21"/>
        </w:rPr>
        <w:t>, and the site cannot express that combination as a filter.</w:t>
      </w:r>
    </w:p>
    <w:p>
      <w:pPr>
        <w:spacing w:after="160"/>
      </w:pPr>
      <w:r>
        <w:rPr>
          <w:rFonts w:ascii="Calibri" w:hAnsi="Calibri"/>
          <w:b w:val="0"/>
          <w:i w:val="0"/>
          <w:color w:val="1A1A1A"/>
          <w:sz w:val="21"/>
        </w:rPr>
        <w:t xml:space="preserve">They are now on the </w:t>
      </w:r>
      <w:r>
        <w:rPr>
          <w:rFonts w:ascii="Calibri" w:hAnsi="Calibri"/>
          <w:b/>
          <w:i w:val="0"/>
          <w:color w:val="1A1A1A"/>
          <w:sz w:val="21"/>
        </w:rPr>
        <w:t>No Partner</w:t>
      </w:r>
      <w:r>
        <w:rPr>
          <w:rFonts w:ascii="Calibri" w:hAnsi="Calibri"/>
          <w:b w:val="0"/>
          <w:i w:val="0"/>
          <w:color w:val="1A1A1A"/>
          <w:sz w:val="21"/>
        </w:rPr>
        <w:t xml:space="preserve"> tab of the attached workbook, with a link to each on the site.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F4D38"/>
          </w:tcPr>
          <w:p>
            <w:pPr>
              <w:spacing w:after="40"/>
            </w:pPr>
            <w:r>
              <w:rPr>
                <w:rFonts w:ascii="Calibri" w:hAnsi="Calibri"/>
                <w:b/>
                <w:color w:val="FFFFFF"/>
                <w:sz w:val="19"/>
              </w:rPr>
              <w:t>Certificate</w:t>
            </w:r>
          </w:p>
        </w:tc>
        <w:tc>
          <w:tcPr>
            <w:tcW w:type="dxa" w:w="1872"/>
            <w:shd w:val="clear" w:fill="1F4D38"/>
          </w:tcPr>
          <w:p>
            <w:pPr>
              <w:spacing w:after="40"/>
            </w:pPr>
            <w:r>
              <w:rPr>
                <w:rFonts w:ascii="Calibri" w:hAnsi="Calibri"/>
                <w:b/>
                <w:color w:val="FFFFFF"/>
                <w:sz w:val="19"/>
              </w:rPr>
              <w:t>Company</w:t>
            </w:r>
          </w:p>
        </w:tc>
        <w:tc>
          <w:tcPr>
            <w:tcW w:type="dxa" w:w="1872"/>
            <w:shd w:val="clear" w:fill="1F4D38"/>
          </w:tcPr>
          <w:p>
            <w:pPr>
              <w:spacing w:after="40"/>
            </w:pPr>
            <w:r>
              <w:rPr>
                <w:rFonts w:ascii="Calibri" w:hAnsi="Calibri"/>
                <w:b/>
                <w:color w:val="FFFFFF"/>
                <w:sz w:val="19"/>
              </w:rPr>
              <w:t>Status</w:t>
            </w:r>
          </w:p>
        </w:tc>
        <w:tc>
          <w:tcPr>
            <w:tcW w:type="dxa" w:w="1872"/>
            <w:shd w:val="clear" w:fill="1F4D38"/>
          </w:tcPr>
          <w:p>
            <w:pPr>
              <w:spacing w:after="40"/>
            </w:pPr>
            <w:r>
              <w:rPr>
                <w:rFonts w:ascii="Calibri" w:hAnsi="Calibri"/>
                <w:b/>
                <w:color w:val="FFFFFF"/>
                <w:sz w:val="19"/>
              </w:rPr>
              <w:t>Identifiers</w:t>
            </w:r>
          </w:p>
        </w:tc>
        <w:tc>
          <w:tcPr>
            <w:tcW w:type="dxa" w:w="1872"/>
            <w:shd w:val="clear" w:fill="1F4D38"/>
          </w:tcPr>
          <w:p>
            <w:pPr>
              <w:spacing w:after="40"/>
            </w:pPr>
            <w:r>
              <w:rPr>
                <w:rFonts w:ascii="Calibri" w:hAnsi="Calibri"/>
                <w:b/>
                <w:color w:val="FFFFFF"/>
                <w:sz w:val="19"/>
              </w:rPr>
              <w:t>Reaches Amazon today</w:t>
            </w:r>
          </w:p>
        </w:tc>
      </w:tr>
      <w:tr>
        <w:tc>
          <w:tcPr>
            <w:tcW w:type="dxa" w:w="1872"/>
          </w:tcPr>
          <w:p>
            <w:pPr>
              <w:spacing w:after="40"/>
            </w:pPr>
            <w:r>
              <w:rPr>
                <w:rFonts w:ascii="Calibri" w:hAnsi="Calibri"/>
                <w:b w:val="0"/>
                <w:i w:val="0"/>
                <w:color w:val="1A1A1A"/>
                <w:sz w:val="19"/>
              </w:rPr>
              <w:t>26-0053</w:t>
            </w:r>
          </w:p>
        </w:tc>
        <w:tc>
          <w:tcPr>
            <w:tcW w:type="dxa" w:w="1872"/>
          </w:tcPr>
          <w:p>
            <w:pPr>
              <w:spacing w:after="40"/>
            </w:pPr>
            <w:r>
              <w:rPr>
                <w:rFonts w:ascii="Calibri" w:hAnsi="Calibri"/>
                <w:b w:val="0"/>
                <w:i w:val="0"/>
                <w:color w:val="1A1A1A"/>
                <w:sz w:val="19"/>
              </w:rPr>
              <w:t>Kohler Co.</w:t>
            </w:r>
          </w:p>
        </w:tc>
        <w:tc>
          <w:tcPr>
            <w:tcW w:type="dxa" w:w="1872"/>
          </w:tcPr>
          <w:p>
            <w:pPr>
              <w:spacing w:after="40"/>
            </w:pPr>
            <w:r>
              <w:rPr>
                <w:rFonts w:ascii="Calibri" w:hAnsi="Calibri"/>
                <w:b w:val="0"/>
                <w:i w:val="0"/>
                <w:color w:val="1A1A1A"/>
                <w:sz w:val="19"/>
              </w:rPr>
              <w:t>Client Approved - Paid</w:t>
            </w:r>
          </w:p>
        </w:tc>
        <w:tc>
          <w:tcPr>
            <w:tcW w:type="dxa" w:w="1872"/>
          </w:tcPr>
          <w:p>
            <w:pPr>
              <w:spacing w:after="40"/>
            </w:pPr>
            <w:r>
              <w:rPr>
                <w:rFonts w:ascii="Calibri" w:hAnsi="Calibri"/>
                <w:b/>
                <w:i w:val="0"/>
                <w:color w:val="1A1A1A"/>
                <w:sz w:val="19"/>
              </w:rPr>
              <w:t>908</w:t>
            </w:r>
          </w:p>
        </w:tc>
        <w:tc>
          <w:tcPr>
            <w:tcW w:type="dxa" w:w="1872"/>
          </w:tcPr>
          <w:p>
            <w:pPr>
              <w:spacing w:after="40"/>
            </w:pPr>
            <w:r>
              <w:rPr>
                <w:rFonts w:ascii="Calibri" w:hAnsi="Calibri"/>
                <w:b w:val="0"/>
                <w:i w:val="0"/>
                <w:color w:val="1A1A1A"/>
                <w:sz w:val="19"/>
              </w:rPr>
              <w:t>No</w:t>
            </w:r>
          </w:p>
        </w:tc>
      </w:tr>
      <w:tr>
        <w:tc>
          <w:tcPr>
            <w:tcW w:type="dxa" w:w="1872"/>
            <w:shd w:val="clear" w:fill="F2F5F3"/>
          </w:tcPr>
          <w:p>
            <w:pPr>
              <w:spacing w:after="40"/>
            </w:pPr>
            <w:r>
              <w:rPr>
                <w:rFonts w:ascii="Calibri" w:hAnsi="Calibri"/>
                <w:b w:val="0"/>
                <w:i w:val="0"/>
                <w:color w:val="1A1A1A"/>
                <w:sz w:val="19"/>
              </w:rPr>
              <w:t>26-0101</w:t>
            </w:r>
          </w:p>
        </w:tc>
        <w:tc>
          <w:tcPr>
            <w:tcW w:type="dxa" w:w="1872"/>
            <w:shd w:val="clear" w:fill="F2F5F3"/>
          </w:tcPr>
          <w:p>
            <w:pPr>
              <w:spacing w:after="40"/>
            </w:pPr>
            <w:r>
              <w:rPr>
                <w:rFonts w:ascii="Calibri" w:hAnsi="Calibri"/>
                <w:b w:val="0"/>
                <w:i w:val="0"/>
                <w:color w:val="1A1A1A"/>
                <w:sz w:val="19"/>
              </w:rPr>
              <w:t>Kohler Co.</w:t>
            </w:r>
          </w:p>
        </w:tc>
        <w:tc>
          <w:tcPr>
            <w:tcW w:type="dxa" w:w="1872"/>
            <w:shd w:val="clear" w:fill="F2F5F3"/>
          </w:tcPr>
          <w:p>
            <w:pPr>
              <w:spacing w:after="40"/>
            </w:pPr>
            <w:r>
              <w:rPr>
                <w:rFonts w:ascii="Calibri" w:hAnsi="Calibri"/>
                <w:b w:val="0"/>
                <w:i w:val="0"/>
                <w:color w:val="1A1A1A"/>
                <w:sz w:val="19"/>
              </w:rPr>
              <w:t>Client Approved - Paid</w:t>
            </w:r>
          </w:p>
        </w:tc>
        <w:tc>
          <w:tcPr>
            <w:tcW w:type="dxa" w:w="1872"/>
            <w:shd w:val="clear" w:fill="F2F5F3"/>
          </w:tcPr>
          <w:p>
            <w:pPr>
              <w:spacing w:after="40"/>
            </w:pPr>
            <w:r>
              <w:rPr>
                <w:rFonts w:ascii="Calibri" w:hAnsi="Calibri"/>
                <w:b/>
                <w:i w:val="0"/>
                <w:color w:val="1A1A1A"/>
                <w:sz w:val="19"/>
              </w:rPr>
              <w:t>908</w:t>
            </w:r>
          </w:p>
        </w:tc>
        <w:tc>
          <w:tcPr>
            <w:tcW w:type="dxa" w:w="1872"/>
            <w:shd w:val="clear" w:fill="F2F5F3"/>
          </w:tcPr>
          <w:p>
            <w:pPr>
              <w:spacing w:after="40"/>
            </w:pPr>
            <w:r>
              <w:rPr>
                <w:rFonts w:ascii="Calibri" w:hAnsi="Calibri"/>
                <w:b w:val="0"/>
                <w:i w:val="0"/>
                <w:color w:val="1A1A1A"/>
                <w:sz w:val="19"/>
              </w:rPr>
              <w:t>No</w:t>
            </w:r>
          </w:p>
        </w:tc>
      </w:tr>
      <w:tr>
        <w:tc>
          <w:tcPr>
            <w:tcW w:type="dxa" w:w="1872"/>
          </w:tcPr>
          <w:p>
            <w:pPr>
              <w:spacing w:after="40"/>
            </w:pPr>
            <w:r>
              <w:rPr>
                <w:rFonts w:ascii="Calibri" w:hAnsi="Calibri"/>
                <w:b w:val="0"/>
                <w:i w:val="0"/>
                <w:color w:val="1A1A1A"/>
                <w:sz w:val="19"/>
              </w:rPr>
              <w:t>25-8535</w:t>
            </w:r>
          </w:p>
        </w:tc>
        <w:tc>
          <w:tcPr>
            <w:tcW w:type="dxa" w:w="1872"/>
          </w:tcPr>
          <w:p>
            <w:pPr>
              <w:spacing w:after="40"/>
            </w:pPr>
            <w:r>
              <w:rPr>
                <w:rFonts w:ascii="Calibri" w:hAnsi="Calibri"/>
                <w:b w:val="0"/>
                <w:i w:val="0"/>
                <w:color w:val="1A1A1A"/>
                <w:sz w:val="19"/>
              </w:rPr>
              <w:t>Kohler Co.</w:t>
            </w:r>
          </w:p>
        </w:tc>
        <w:tc>
          <w:tcPr>
            <w:tcW w:type="dxa" w:w="1872"/>
          </w:tcPr>
          <w:p>
            <w:pPr>
              <w:spacing w:after="40"/>
            </w:pPr>
            <w:r>
              <w:rPr>
                <w:rFonts w:ascii="Calibri" w:hAnsi="Calibri"/>
                <w:b w:val="0"/>
                <w:i w:val="0"/>
                <w:color w:val="1A1A1A"/>
                <w:sz w:val="19"/>
              </w:rPr>
              <w:t>Client Approved - Paid</w:t>
            </w:r>
          </w:p>
        </w:tc>
        <w:tc>
          <w:tcPr>
            <w:tcW w:type="dxa" w:w="1872"/>
          </w:tcPr>
          <w:p>
            <w:pPr>
              <w:spacing w:after="40"/>
            </w:pPr>
            <w:r>
              <w:rPr>
                <w:rFonts w:ascii="Calibri" w:hAnsi="Calibri"/>
                <w:b/>
                <w:i w:val="0"/>
                <w:color w:val="1A1A1A"/>
                <w:sz w:val="19"/>
              </w:rPr>
              <w:t>143</w:t>
            </w:r>
          </w:p>
        </w:tc>
        <w:tc>
          <w:tcPr>
            <w:tcW w:type="dxa" w:w="1872"/>
          </w:tcPr>
          <w:p>
            <w:pPr>
              <w:spacing w:after="40"/>
            </w:pPr>
            <w:r>
              <w:rPr>
                <w:rFonts w:ascii="Calibri" w:hAnsi="Calibri"/>
                <w:b w:val="0"/>
                <w:i w:val="0"/>
                <w:color w:val="1A1A1A"/>
                <w:sz w:val="19"/>
              </w:rPr>
              <w:t>No</w:t>
            </w:r>
          </w:p>
        </w:tc>
      </w:tr>
      <w:tr>
        <w:tc>
          <w:tcPr>
            <w:tcW w:type="dxa" w:w="1872"/>
            <w:shd w:val="clear" w:fill="F2F5F3"/>
          </w:tcPr>
          <w:p>
            <w:pPr>
              <w:spacing w:after="40"/>
            </w:pPr>
            <w:r>
              <w:rPr>
                <w:rFonts w:ascii="Calibri" w:hAnsi="Calibri"/>
                <w:b w:val="0"/>
                <w:i w:val="0"/>
                <w:color w:val="1A1A1A"/>
                <w:sz w:val="19"/>
              </w:rPr>
              <w:t>23-0814</w:t>
            </w:r>
          </w:p>
        </w:tc>
        <w:tc>
          <w:tcPr>
            <w:tcW w:type="dxa" w:w="1872"/>
            <w:shd w:val="clear" w:fill="F2F5F3"/>
          </w:tcPr>
          <w:p>
            <w:pPr>
              <w:spacing w:after="40"/>
            </w:pPr>
            <w:r>
              <w:rPr>
                <w:rFonts w:ascii="Calibri" w:hAnsi="Calibri"/>
                <w:b w:val="0"/>
                <w:i w:val="0"/>
                <w:color w:val="1A1A1A"/>
                <w:sz w:val="19"/>
              </w:rPr>
              <w:t>The Procter &amp; Gamble Company</w:t>
            </w:r>
          </w:p>
        </w:tc>
        <w:tc>
          <w:tcPr>
            <w:tcW w:type="dxa" w:w="1872"/>
            <w:shd w:val="clear" w:fill="F2F5F3"/>
          </w:tcPr>
          <w:p>
            <w:pPr>
              <w:spacing w:after="40"/>
            </w:pPr>
            <w:r>
              <w:rPr>
                <w:rFonts w:ascii="Calibri" w:hAnsi="Calibri"/>
                <w:b/>
                <w:i w:val="0"/>
                <w:color w:val="1A1A1A"/>
                <w:sz w:val="19"/>
              </w:rPr>
              <w:t>Expired</w:t>
            </w:r>
          </w:p>
        </w:tc>
        <w:tc>
          <w:tcPr>
            <w:tcW w:type="dxa" w:w="1872"/>
            <w:shd w:val="clear" w:fill="F2F5F3"/>
          </w:tcPr>
          <w:p>
            <w:pPr>
              <w:spacing w:after="40"/>
            </w:pPr>
            <w:r>
              <w:rPr>
                <w:rFonts w:ascii="Calibri" w:hAnsi="Calibri"/>
                <w:b w:val="0"/>
                <w:i w:val="0"/>
                <w:color w:val="1A1A1A"/>
                <w:sz w:val="19"/>
              </w:rPr>
              <w:t>1</w:t>
            </w:r>
          </w:p>
        </w:tc>
        <w:tc>
          <w:tcPr>
            <w:tcW w:type="dxa" w:w="1872"/>
            <w:shd w:val="clear" w:fill="F2F5F3"/>
          </w:tcPr>
          <w:p>
            <w:pPr>
              <w:spacing w:after="40"/>
            </w:pPr>
            <w:r>
              <w:rPr>
                <w:rFonts w:ascii="Calibri" w:hAnsi="Calibri"/>
                <w:b w:val="0"/>
                <w:i w:val="0"/>
                <w:color w:val="1A1A1A"/>
                <w:sz w:val="19"/>
              </w:rPr>
              <w:t>No</w:t>
            </w:r>
          </w:p>
        </w:tc>
      </w:tr>
    </w:tbl>
    <w:p>
      <w:pPr>
        <w:spacing w:after="80"/>
      </w:pPr>
    </w:p>
    <w:p>
      <w:pPr>
        <w:spacing w:after="160"/>
      </w:pPr>
      <w:r>
        <w:rPr>
          <w:rFonts w:ascii="Calibri" w:hAnsi="Calibri"/>
          <w:b/>
          <w:i w:val="0"/>
          <w:color w:val="1A1A1A"/>
          <w:sz w:val="21"/>
        </w:rPr>
        <w:t>The decision is really about the three Kohler certificates.</w:t>
      </w:r>
      <w:r>
        <w:rPr>
          <w:rFonts w:ascii="Calibri" w:hAnsi="Calibri"/>
          <w:b w:val="0"/>
          <w:i w:val="0"/>
          <w:color w:val="1A1A1A"/>
          <w:sz w:val="21"/>
        </w:rPr>
        <w:t xml:space="preserve"> They hold 1,959 of the 1,960 identifiers. The Procter &amp; Gamble certificate expired in October 2024, and expired certificates are excluded from the partner feed whatever their partner setting — so it makes no practical difference either way.</w:t>
      </w:r>
    </w:p>
    <w:p>
      <w:pPr>
        <w:spacing w:after="160"/>
      </w:pPr>
      <w:r>
        <w:rPr>
          <w:rFonts w:ascii="Calibri" w:hAnsi="Calibri"/>
          <w:b w:val="0"/>
          <w:i w:val="0"/>
          <w:color w:val="1A1A1A"/>
          <w:sz w:val="21"/>
        </w:rPr>
        <w:t xml:space="preserve">For scale: of the </w:t>
      </w:r>
      <w:r>
        <w:rPr>
          <w:rFonts w:ascii="Calibri" w:hAnsi="Calibri"/>
          <w:b/>
          <w:i w:val="0"/>
          <w:color w:val="1A1A1A"/>
          <w:sz w:val="21"/>
        </w:rPr>
        <w:t>158</w:t>
      </w:r>
      <w:r>
        <w:rPr>
          <w:rFonts w:ascii="Calibri" w:hAnsi="Calibri"/>
          <w:b w:val="0"/>
          <w:i w:val="0"/>
          <w:color w:val="1A1A1A"/>
          <w:sz w:val="21"/>
        </w:rPr>
        <w:t xml:space="preserve"> certificates that carry identifiers, </w:t>
      </w:r>
      <w:r>
        <w:rPr>
          <w:rFonts w:ascii="Calibri" w:hAnsi="Calibri"/>
          <w:b/>
          <w:i w:val="0"/>
          <w:color w:val="1A1A1A"/>
          <w:sz w:val="21"/>
        </w:rPr>
        <w:t>154 are associated with Amazon</w:t>
      </w:r>
      <w:r>
        <w:rPr>
          <w:rFonts w:ascii="Calibri" w:hAnsi="Calibri"/>
          <w:b w:val="0"/>
          <w:i w:val="0"/>
          <w:color w:val="1A1A1A"/>
          <w:sz w:val="21"/>
        </w:rPr>
        <w:t xml:space="preserve"> (14,275 identifiers). These four are not (1,960 identifiers, </w:t>
      </w:r>
      <w:r>
        <w:rPr>
          <w:rFonts w:ascii="Calibri" w:hAnsi="Calibri"/>
          <w:b/>
          <w:i w:val="0"/>
          <w:color w:val="1A1A1A"/>
          <w:sz w:val="21"/>
        </w:rPr>
        <w:t>12%</w:t>
      </w:r>
      <w:r>
        <w:rPr>
          <w:rFonts w:ascii="Calibri" w:hAnsi="Calibri"/>
          <w:b w:val="0"/>
          <w:i w:val="0"/>
          <w:color w:val="1A1A1A"/>
          <w:sz w:val="21"/>
        </w:rPr>
        <w:t xml:space="preserve"> of the total).</w:t>
      </w:r>
    </w:p>
    <w:p>
      <w:pPr>
        <w:spacing w:after="160"/>
      </w:pPr>
      <w:r>
        <w:rPr>
          <w:rFonts w:ascii="Calibri" w:hAnsi="Calibri"/>
          <w:b/>
          <w:i w:val="0"/>
          <w:color w:val="1A1A1A"/>
          <w:sz w:val="21"/>
        </w:rPr>
        <w:t>We need one word from you: should the three Kohler certificates be associated with Amazon?</w:t>
      </w:r>
      <w:r>
        <w:rPr>
          <w:rFonts w:ascii="Calibri" w:hAnsi="Calibri"/>
          <w:b w:val="0"/>
          <w:i w:val="0"/>
          <w:color w:val="1A1A1A"/>
          <w:sz w:val="21"/>
        </w:rPr>
        <w:t xml:space="preserve"> If yes, we set the association and their identifiers begin flowing on the next feed. If no, we leave them exactly as they are. We will not change a partner association without your instruction.</w:t>
      </w:r>
    </w:p>
    <w:p>
      <w:pPr>
        <w:keepNext/>
        <w:spacing w:after="60"/>
      </w:pPr>
      <w:r>
        <w:rPr>
          <w:rFonts w:ascii="Calibri" w:hAnsi="Calibri"/>
          <w:b/>
          <w:i w:val="0"/>
          <w:color w:val="1F4D38"/>
          <w:sz w:val="22"/>
        </w:rPr>
        <w:t>The wider question behind those four</w:t>
      </w:r>
    </w:p>
    <w:p>
      <w:pPr>
        <w:spacing w:after="160"/>
      </w:pPr>
      <w:r>
        <w:rPr>
          <w:rFonts w:ascii="Calibri" w:hAnsi="Calibri"/>
          <w:b w:val="0"/>
          <w:i w:val="0"/>
          <w:color w:val="1A1A1A"/>
          <w:sz w:val="21"/>
        </w:rPr>
        <w:t xml:space="preserve">We should be straight with you about how that figure was produced, because on its own it is misleading. Those four surfaced because they carry </w:t>
      </w:r>
      <w:r>
        <w:rPr>
          <w:rFonts w:ascii="Calibri" w:hAnsi="Calibri"/>
          <w:b/>
          <w:i w:val="0"/>
          <w:color w:val="1A1A1A"/>
          <w:sz w:val="21"/>
        </w:rPr>
        <w:t>product identifiers</w:t>
      </w:r>
      <w:r>
        <w:rPr>
          <w:rFonts w:ascii="Calibri" w:hAnsi="Calibri"/>
          <w:b w:val="0"/>
          <w:i w:val="0"/>
          <w:color w:val="1A1A1A"/>
          <w:sz w:val="21"/>
        </w:rPr>
        <w:t xml:space="preserve"> and no partner. That was the only test applied, so it can only ever find certificates that have identifiers.</w:t>
      </w:r>
    </w:p>
    <w:p>
      <w:pPr>
        <w:spacing w:after="160"/>
      </w:pPr>
      <w:r>
        <w:rPr>
          <w:rFonts w:ascii="Calibri" w:hAnsi="Calibri"/>
          <w:b w:val="0"/>
          <w:i w:val="0"/>
          <w:color w:val="1A1A1A"/>
          <w:sz w:val="21"/>
        </w:rPr>
        <w:t xml:space="preserve">Measured by partner coverage instead, the picture is larger. Amazon is the only partner associated with anything, and it is set on </w:t>
      </w:r>
      <w:r>
        <w:rPr>
          <w:rFonts w:ascii="Calibri" w:hAnsi="Calibri"/>
          <w:b/>
          <w:i w:val="0"/>
          <w:color w:val="1A1A1A"/>
          <w:sz w:val="21"/>
        </w:rPr>
        <w:t>244 certificates, 189 of them active</w:t>
      </w:r>
      <w:r>
        <w:rPr>
          <w:rFonts w:ascii="Calibri" w:hAnsi="Calibri"/>
          <w:b w:val="0"/>
          <w:i w:val="0"/>
          <w:color w:val="1A1A1A"/>
          <w:sz w:val="21"/>
        </w:rPr>
        <w:t xml:space="preserve">. That leaves </w:t>
      </w:r>
      <w:r>
        <w:rPr>
          <w:rFonts w:ascii="Calibri" w:hAnsi="Calibri"/>
          <w:b/>
          <w:i w:val="0"/>
          <w:color w:val="1A1A1A"/>
          <w:sz w:val="21"/>
        </w:rPr>
        <w:t>683 active certificates carrying no partner at all</w:t>
      </w:r>
      <w:r>
        <w:rPr>
          <w:rFonts w:ascii="Calibri" w:hAnsi="Calibri"/>
          <w:b w:val="0"/>
          <w:i w:val="0"/>
          <w:color w:val="1A1A1A"/>
          <w:sz w:val="21"/>
        </w:rPr>
        <w:t xml:space="preserve"> — the four above, and 680 more that were never flagged simply because they have no identifiers to count. There is also the reverse case: </w:t>
      </w:r>
      <w:r>
        <w:rPr>
          <w:rFonts w:ascii="Calibri" w:hAnsi="Calibri"/>
          <w:b/>
          <w:i w:val="0"/>
          <w:color w:val="1A1A1A"/>
          <w:sz w:val="21"/>
        </w:rPr>
        <w:t>54 active certificates are associated with Amazon but carry no product identifiers</w:t>
      </w:r>
      <w:r>
        <w:rPr>
          <w:rFonts w:ascii="Calibri" w:hAnsi="Calibri"/>
          <w:b w:val="0"/>
          <w:i w:val="0"/>
          <w:color w:val="1A1A1A"/>
          <w:sz w:val="21"/>
        </w:rPr>
        <w:t>, so Amazon receives the certificate with no products attached.</w:t>
      </w:r>
    </w:p>
    <w:p>
      <w:pPr>
        <w:spacing w:after="160"/>
      </w:pPr>
      <w:r>
        <w:rPr>
          <w:rFonts w:ascii="Calibri" w:hAnsi="Calibri"/>
          <w:b/>
          <w:i w:val="0"/>
          <w:color w:val="1A1A1A"/>
          <w:sz w:val="21"/>
        </w:rPr>
        <w:t>None of this is a loading error, and we checked before saying so.</w:t>
      </w:r>
      <w:r>
        <w:rPr>
          <w:rFonts w:ascii="Calibri" w:hAnsi="Calibri"/>
          <w:b w:val="0"/>
          <w:i w:val="0"/>
          <w:color w:val="1A1A1A"/>
          <w:sz w:val="21"/>
        </w:rPr>
        <w:t xml:space="preserve"> The partner field reproduces your source files exactly — 244 values compared, 244 matched, none different, and the remaining 5,458 blank in your files and blank in the database. Nothing was dropped.</w:t>
      </w:r>
    </w:p>
    <w:p>
      <w:pPr>
        <w:spacing w:after="160"/>
      </w:pPr>
      <w:r>
        <w:rPr>
          <w:rFonts w:ascii="Calibri" w:hAnsi="Calibri"/>
          <w:b w:val="0"/>
          <w:i w:val="0"/>
          <w:color w:val="1A1A1A"/>
          <w:sz w:val="21"/>
        </w:rPr>
        <w:t xml:space="preserve">The question is simply whether </w:t>
      </w:r>
      <w:r>
        <w:rPr>
          <w:rFonts w:ascii="Calibri" w:hAnsi="Calibri"/>
          <w:b/>
          <w:i w:val="0"/>
          <w:color w:val="1A1A1A"/>
          <w:sz w:val="21"/>
        </w:rPr>
        <w:t>244 is the Amazon population you intend.</w:t>
      </w:r>
      <w:r>
        <w:rPr>
          <w:rFonts w:ascii="Calibri" w:hAnsi="Calibri"/>
          <w:b w:val="0"/>
          <w:i w:val="0"/>
          <w:color w:val="1A1A1A"/>
          <w:sz w:val="21"/>
        </w:rPr>
        <w:t xml:space="preserve"> Only you can answer that. Three new tabs in the attached workbook let you see it for yourself: </w:t>
      </w:r>
      <w:r>
        <w:rPr>
          <w:rFonts w:ascii="Calibri" w:hAnsi="Calibri"/>
          <w:b/>
          <w:i w:val="0"/>
          <w:color w:val="1A1A1A"/>
          <w:sz w:val="21"/>
        </w:rPr>
        <w:t>Partner Coverage</w:t>
      </w:r>
      <w:r>
        <w:rPr>
          <w:rFonts w:ascii="Calibri" w:hAnsi="Calibri"/>
          <w:b w:val="0"/>
          <w:i w:val="0"/>
          <w:color w:val="1A1A1A"/>
          <w:sz w:val="21"/>
        </w:rPr>
        <w:t xml:space="preserve"> (every certificate by partner, identifiers and status), </w:t>
      </w:r>
      <w:r>
        <w:rPr>
          <w:rFonts w:ascii="Calibri" w:hAnsi="Calibri"/>
          <w:b/>
          <w:i w:val="0"/>
          <w:color w:val="1A1A1A"/>
          <w:sz w:val="21"/>
        </w:rPr>
        <w:t>Active - No Partner</w:t>
      </w:r>
      <w:r>
        <w:rPr>
          <w:rFonts w:ascii="Calibri" w:hAnsi="Calibri"/>
          <w:b w:val="0"/>
          <w:i w:val="0"/>
          <w:color w:val="1A1A1A"/>
          <w:sz w:val="21"/>
        </w:rPr>
        <w:t xml:space="preserve"> (all 683), and </w:t>
      </w:r>
      <w:r>
        <w:rPr>
          <w:rFonts w:ascii="Calibri" w:hAnsi="Calibri"/>
          <w:b/>
          <w:i w:val="0"/>
          <w:color w:val="1A1A1A"/>
          <w:sz w:val="21"/>
        </w:rPr>
        <w:t>Amazon - No Identifiers</w:t>
      </w:r>
      <w:r>
        <w:rPr>
          <w:rFonts w:ascii="Calibri" w:hAnsi="Calibri"/>
          <w:b w:val="0"/>
          <w:i w:val="0"/>
          <w:color w:val="1A1A1A"/>
          <w:sz w:val="21"/>
        </w:rPr>
        <w:t xml:space="preserve"> (the 54). If 244 is right, nothing needs doing and only the Kohler question above remains.</w:t>
      </w:r>
    </w:p>
    <w:p>
      <w:pPr>
        <w:keepNext/>
        <w:spacing w:before="320" w:after="40"/>
        <w:pBdr>
          <w:bottom w:val="single" w:sz="8" w:space="4" w:color="1F4D38"/>
        </w:pBdr>
      </w:pPr>
      <w:r>
        <w:rPr>
          <w:rFonts w:ascii="Georgia" w:hAnsi="Georgia"/>
          <w:b/>
          <w:color w:val="1F4D38"/>
          <w:sz w:val="28"/>
        </w:rPr>
        <w:t>2. Duplicate names on the same identifier — closed</w:t>
      </w:r>
    </w:p>
    <w:p>
      <w:pPr>
        <w:spacing w:after="160"/>
      </w:pPr>
      <w:r>
        <w:rPr>
          <w:rFonts w:ascii="Calibri" w:hAnsi="Calibri"/>
          <w:b w:val="0"/>
          <w:i w:val="0"/>
          <w:color w:val="1A1A1A"/>
          <w:sz w:val="21"/>
        </w:rPr>
        <w:t xml:space="preserve">You are right that Amazon matches on the identifier rather than the name, and that is how the feed works: the ASIN is the key and the product name is descriptive only. We keep the first name encountered, which is what is loaded today. </w:t>
      </w:r>
      <w:r>
        <w:rPr>
          <w:rFonts w:ascii="Calibri" w:hAnsi="Calibri"/>
          <w:b/>
          <w:i w:val="0"/>
          <w:color w:val="1A1A1A"/>
          <w:sz w:val="21"/>
        </w:rPr>
        <w:t>Nothing changes and nothing further is needed.</w:t>
      </w:r>
      <w:r>
        <w:rPr>
          <w:rFonts w:ascii="Calibri" w:hAnsi="Calibri"/>
          <w:b w:val="0"/>
          <w:i w:val="0"/>
          <w:color w:val="1A1A1A"/>
          <w:sz w:val="21"/>
        </w:rPr>
        <w:t xml:space="preserve"> This item is closed.</w:t>
      </w:r>
    </w:p>
    <w:p>
      <w:pPr>
        <w:keepNext/>
        <w:spacing w:before="320" w:after="40"/>
        <w:pBdr>
          <w:bottom w:val="single" w:sz="8" w:space="4" w:color="1F4D38"/>
        </w:pBdr>
      </w:pPr>
      <w:r>
        <w:rPr>
          <w:rFonts w:ascii="Georgia" w:hAnsi="Georgia"/>
          <w:b/>
          <w:color w:val="1F4D38"/>
          <w:sz w:val="28"/>
        </w:rPr>
        <w:t>3. Blank product names — please resend that tab</w:t>
      </w:r>
    </w:p>
    <w:p>
      <w:pPr>
        <w:spacing w:after="160"/>
      </w:pPr>
      <w:r>
        <w:rPr>
          <w:rFonts w:ascii="Calibri" w:hAnsi="Calibri"/>
          <w:b w:val="0"/>
          <w:i w:val="0"/>
          <w:color w:val="1A1A1A"/>
          <w:sz w:val="21"/>
        </w:rPr>
        <w:t xml:space="preserve">Understood that the values are highlighted in green, but the table did not survive the email — only the column headings reached us. </w:t>
      </w:r>
      <w:r>
        <w:rPr>
          <w:rFonts w:ascii="Calibri" w:hAnsi="Calibri"/>
          <w:b/>
          <w:i w:val="0"/>
          <w:color w:val="1A1A1A"/>
          <w:sz w:val="21"/>
        </w:rPr>
        <w:t>Please send the workbook itself, or just that one tab, with the green cells intact</w:t>
      </w:r>
      <w:r>
        <w:rPr>
          <w:rFonts w:ascii="Calibri" w:hAnsi="Calibri"/>
          <w:b w:val="0"/>
          <w:i w:val="0"/>
          <w:color w:val="1A1A1A"/>
          <w:sz w:val="21"/>
        </w:rPr>
        <w:t xml:space="preserve"> and we will apply the names.</w:t>
      </w:r>
    </w:p>
    <w:p>
      <w:pPr>
        <w:spacing w:after="160"/>
      </w:pPr>
      <w:r>
        <w:rPr>
          <w:rFonts w:ascii="Calibri" w:hAnsi="Calibri"/>
          <w:b w:val="0"/>
          <w:i w:val="0"/>
          <w:color w:val="1A1A1A"/>
          <w:sz w:val="21"/>
        </w:rPr>
        <w:t xml:space="preserve">It is a small job: </w:t>
      </w:r>
      <w:r>
        <w:rPr>
          <w:rFonts w:ascii="Calibri" w:hAnsi="Calibri"/>
          <w:b/>
          <w:i w:val="0"/>
          <w:color w:val="1A1A1A"/>
          <w:sz w:val="21"/>
        </w:rPr>
        <w:t>11 product identifiers, across 2 certificates</w:t>
      </w:r>
      <w:r>
        <w:rPr>
          <w:rFonts w:ascii="Calibri" w:hAnsi="Calibri"/>
          <w:b w:val="0"/>
          <w:i w:val="0"/>
          <w:color w:val="1A1A1A"/>
          <w:sz w:val="21"/>
        </w:rPr>
        <w:t>, still have no product name. Everything else already has one.</w:t>
      </w:r>
    </w:p>
    <w:p>
      <w:r>
        <w:br w:type="page"/>
      </w:r>
    </w:p>
    <w:p>
      <w:pPr>
        <w:keepNext/>
        <w:spacing w:before="320" w:after="40"/>
        <w:pBdr>
          <w:bottom w:val="single" w:sz="8" w:space="4" w:color="1F4D38"/>
        </w:pBdr>
      </w:pPr>
      <w:r>
        <w:rPr>
          <w:rFonts w:ascii="Georgia" w:hAnsi="Georgia"/>
          <w:b/>
          <w:color w:val="1F4D38"/>
          <w:sz w:val="28"/>
        </w:rPr>
        <w:t>4. The counts from your 27 August review</w:t>
      </w:r>
    </w:p>
    <w:p>
      <w:pPr>
        <w:spacing w:after="160"/>
      </w:pPr>
      <w:r>
        <w:rPr>
          <w:rFonts w:ascii="Calibri" w:hAnsi="Calibri"/>
          <w:b w:val="0"/>
          <w:i w:val="0"/>
          <w:color w:val="1A1A1A"/>
          <w:sz w:val="21"/>
        </w:rPr>
        <w:t xml:space="preserve">Both differences reconcile exactly. </w:t>
      </w:r>
      <w:r>
        <w:rPr>
          <w:rFonts w:ascii="Calibri" w:hAnsi="Calibri"/>
          <w:b/>
          <w:i w:val="0"/>
          <w:color w:val="1A1A1A"/>
          <w:sz w:val="21"/>
        </w:rPr>
        <w:t>Nothing is missing that we have not already listed for you.</w:t>
      </w:r>
    </w:p>
    <w:p>
      <w:pPr>
        <w:spacing w:after="160"/>
      </w:pPr>
      <w:r>
        <w:rPr>
          <w:rFonts w:ascii="Calibri" w:hAnsi="Calibri"/>
          <w:b/>
          <w:i w:val="0"/>
          <w:color w:val="1A1A1A"/>
          <w:sz w:val="21"/>
        </w:rPr>
        <w:t>Public 964 against Active 982 — a difference of 18, which is 2 plus 16.</w:t>
      </w:r>
    </w:p>
    <w:p>
      <w:pPr>
        <w:spacing w:after="160"/>
      </w:pPr>
      <w:r>
        <w:rPr>
          <w:rFonts w:ascii="Calibri" w:hAnsi="Calibri"/>
          <w:b w:val="0"/>
          <w:i w:val="0"/>
          <w:color w:val="1A1A1A"/>
          <w:sz w:val="21"/>
        </w:rPr>
        <w:t xml:space="preserve">The </w:t>
      </w:r>
      <w:r>
        <w:rPr>
          <w:rFonts w:ascii="Calibri" w:hAnsi="Calibri"/>
          <w:b/>
          <w:i w:val="0"/>
          <w:color w:val="1A1A1A"/>
          <w:sz w:val="21"/>
        </w:rPr>
        <w:t>2</w:t>
      </w:r>
      <w:r>
        <w:rPr>
          <w:rFonts w:ascii="Calibri" w:hAnsi="Calibri"/>
          <w:b w:val="0"/>
          <w:i w:val="0"/>
          <w:color w:val="1A1A1A"/>
          <w:sz w:val="21"/>
        </w:rPr>
        <w:t xml:space="preserve"> are the Sofidel America certificates, 23-0358 and 25-0351, which you identified. Neither has an expiration date in the source file, so neither could be loaded. They are two of the 29 on the Not Loaded tab, not additional to them.</w:t>
      </w:r>
    </w:p>
    <w:p>
      <w:pPr>
        <w:spacing w:after="160"/>
      </w:pPr>
      <w:r>
        <w:rPr>
          <w:rFonts w:ascii="Calibri" w:hAnsi="Calibri"/>
          <w:b w:val="0"/>
          <w:i w:val="0"/>
          <w:color w:val="1A1A1A"/>
          <w:sz w:val="21"/>
        </w:rPr>
        <w:t xml:space="preserve">The </w:t>
      </w:r>
      <w:r>
        <w:rPr>
          <w:rFonts w:ascii="Calibri" w:hAnsi="Calibri"/>
          <w:b/>
          <w:i w:val="0"/>
          <w:color w:val="1A1A1A"/>
          <w:sz w:val="21"/>
        </w:rPr>
        <w:t>16</w:t>
      </w:r>
      <w:r>
        <w:rPr>
          <w:rFonts w:ascii="Calibri" w:hAnsi="Calibri"/>
          <w:b w:val="0"/>
          <w:i w:val="0"/>
          <w:color w:val="1A1A1A"/>
          <w:sz w:val="21"/>
        </w:rPr>
        <w:t xml:space="preserve"> were approved and paid, but </w:t>
      </w:r>
      <w:r>
        <w:rPr>
          <w:rFonts w:ascii="Calibri" w:hAnsi="Calibri"/>
          <w:b/>
          <w:i w:val="0"/>
          <w:color w:val="1A1A1A"/>
          <w:sz w:val="21"/>
        </w:rPr>
        <w:t>had not yet reached their effective date</w:t>
      </w:r>
      <w:r>
        <w:rPr>
          <w:rFonts w:ascii="Calibri" w:hAnsi="Calibri"/>
          <w:b w:val="0"/>
          <w:i w:val="0"/>
          <w:color w:val="1A1A1A"/>
          <w:sz w:val="21"/>
        </w:rPr>
        <w:t xml:space="preserve"> on 27 August. A certificate becomes publicly visible on its effective date and stays visible through its expiration date. Before its effective date it is correctly counted as active internally — your analysts staged it deliberately — but it is not yet a live public record.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4D38"/>
          </w:tcPr>
          <w:p>
            <w:pPr>
              <w:spacing w:after="40"/>
            </w:pPr>
            <w:r>
              <w:rPr>
                <w:rFonts w:ascii="Calibri" w:hAnsi="Calibri"/>
                <w:b/>
                <w:color w:val="FFFFFF"/>
                <w:sz w:val="19"/>
              </w:rPr>
              <w:t>Company</w:t>
            </w:r>
          </w:p>
        </w:tc>
        <w:tc>
          <w:tcPr>
            <w:tcW w:type="dxa" w:w="2340"/>
            <w:shd w:val="clear" w:fill="1F4D38"/>
          </w:tcPr>
          <w:p>
            <w:pPr>
              <w:spacing w:after="40"/>
            </w:pPr>
            <w:r>
              <w:rPr>
                <w:rFonts w:ascii="Calibri" w:hAnsi="Calibri"/>
                <w:b/>
                <w:color w:val="FFFFFF"/>
                <w:sz w:val="19"/>
              </w:rPr>
              <w:t>Certificates</w:t>
            </w:r>
          </w:p>
        </w:tc>
        <w:tc>
          <w:tcPr>
            <w:tcW w:type="dxa" w:w="2340"/>
            <w:shd w:val="clear" w:fill="1F4D38"/>
          </w:tcPr>
          <w:p>
            <w:pPr>
              <w:spacing w:after="40"/>
            </w:pPr>
            <w:r>
              <w:rPr>
                <w:rFonts w:ascii="Calibri" w:hAnsi="Calibri"/>
                <w:b/>
                <w:color w:val="FFFFFF"/>
                <w:sz w:val="19"/>
              </w:rPr>
              <w:t>Effective date</w:t>
            </w:r>
          </w:p>
        </w:tc>
        <w:tc>
          <w:tcPr>
            <w:tcW w:type="dxa" w:w="2340"/>
            <w:shd w:val="clear" w:fill="1F4D38"/>
          </w:tcPr>
          <w:p>
            <w:pPr>
              <w:spacing w:after="40"/>
            </w:pPr>
            <w:r>
              <w:rPr>
                <w:rFonts w:ascii="Calibri" w:hAnsi="Calibri"/>
                <w:b/>
                <w:color w:val="FFFFFF"/>
                <w:sz w:val="19"/>
              </w:rPr>
              <w:t>Where it stands now</w:t>
            </w:r>
          </w:p>
        </w:tc>
      </w:tr>
      <w:tr>
        <w:tc>
          <w:tcPr>
            <w:tcW w:type="dxa" w:w="2340"/>
          </w:tcPr>
          <w:p>
            <w:pPr>
              <w:spacing w:after="40"/>
            </w:pPr>
            <w:r>
              <w:rPr>
                <w:rFonts w:ascii="Calibri" w:hAnsi="Calibri"/>
                <w:b w:val="0"/>
                <w:i w:val="0"/>
                <w:color w:val="1A1A1A"/>
                <w:sz w:val="19"/>
              </w:rPr>
              <w:t>Fleming Door Products (ASSA ABLOY)</w:t>
            </w:r>
          </w:p>
        </w:tc>
        <w:tc>
          <w:tcPr>
            <w:tcW w:type="dxa" w:w="2340"/>
          </w:tcPr>
          <w:p>
            <w:pPr>
              <w:spacing w:after="40"/>
            </w:pPr>
            <w:r>
              <w:rPr>
                <w:rFonts w:ascii="Calibri" w:hAnsi="Calibri"/>
                <w:b w:val="0"/>
                <w:i w:val="0"/>
                <w:color w:val="1A1A1A"/>
                <w:sz w:val="19"/>
              </w:rPr>
              <w:t>26-0413 through 26-0420</w:t>
            </w:r>
          </w:p>
        </w:tc>
        <w:tc>
          <w:tcPr>
            <w:tcW w:type="dxa" w:w="2340"/>
          </w:tcPr>
          <w:p>
            <w:pPr>
              <w:spacing w:after="40"/>
            </w:pPr>
            <w:r>
              <w:rPr>
                <w:rFonts w:ascii="Calibri" w:hAnsi="Calibri"/>
                <w:b w:val="0"/>
                <w:i w:val="0"/>
                <w:color w:val="1A1A1A"/>
                <w:sz w:val="19"/>
              </w:rPr>
              <w:t>1 September 2026</w:t>
            </w:r>
          </w:p>
        </w:tc>
        <w:tc>
          <w:tcPr>
            <w:tcW w:type="dxa" w:w="2340"/>
          </w:tcPr>
          <w:p>
            <w:pPr>
              <w:spacing w:after="40"/>
            </w:pPr>
            <w:r>
              <w:rPr>
                <w:rFonts w:ascii="Calibri" w:hAnsi="Calibri"/>
                <w:b/>
                <w:i w:val="0"/>
                <w:color w:val="1A1A1A"/>
                <w:sz w:val="19"/>
              </w:rPr>
              <w:t>Public since 1 September</w:t>
            </w:r>
          </w:p>
        </w:tc>
      </w:tr>
      <w:tr>
        <w:tc>
          <w:tcPr>
            <w:tcW w:type="dxa" w:w="2340"/>
            <w:shd w:val="clear" w:fill="F2F5F3"/>
          </w:tcPr>
          <w:p>
            <w:pPr>
              <w:spacing w:after="40"/>
            </w:pPr>
            <w:r>
              <w:rPr>
                <w:rFonts w:ascii="Calibri" w:hAnsi="Calibri"/>
                <w:b w:val="0"/>
                <w:i w:val="0"/>
                <w:color w:val="1A1A1A"/>
                <w:sz w:val="19"/>
              </w:rPr>
              <w:t>Aqua Mizer, Inc.</w:t>
            </w:r>
          </w:p>
        </w:tc>
        <w:tc>
          <w:tcPr>
            <w:tcW w:type="dxa" w:w="2340"/>
            <w:shd w:val="clear" w:fill="F2F5F3"/>
          </w:tcPr>
          <w:p>
            <w:pPr>
              <w:spacing w:after="40"/>
            </w:pPr>
            <w:r>
              <w:rPr>
                <w:rFonts w:ascii="Calibri" w:hAnsi="Calibri"/>
                <w:b w:val="0"/>
                <w:i w:val="0"/>
                <w:color w:val="1A1A1A"/>
                <w:sz w:val="19"/>
              </w:rPr>
              <w:t>26-0479, 26-0480, 26-0481</w:t>
            </w:r>
          </w:p>
        </w:tc>
        <w:tc>
          <w:tcPr>
            <w:tcW w:type="dxa" w:w="2340"/>
            <w:shd w:val="clear" w:fill="F2F5F3"/>
          </w:tcPr>
          <w:p>
            <w:pPr>
              <w:spacing w:after="40"/>
            </w:pPr>
            <w:r>
              <w:rPr>
                <w:rFonts w:ascii="Calibri" w:hAnsi="Calibri"/>
                <w:b w:val="0"/>
                <w:i w:val="0"/>
                <w:color w:val="1A1A1A"/>
                <w:sz w:val="19"/>
              </w:rPr>
              <w:t>1 September 2026</w:t>
            </w:r>
          </w:p>
        </w:tc>
        <w:tc>
          <w:tcPr>
            <w:tcW w:type="dxa" w:w="2340"/>
            <w:shd w:val="clear" w:fill="F2F5F3"/>
          </w:tcPr>
          <w:p>
            <w:pPr>
              <w:spacing w:after="40"/>
            </w:pPr>
            <w:r>
              <w:rPr>
                <w:rFonts w:ascii="Calibri" w:hAnsi="Calibri"/>
                <w:b/>
                <w:i w:val="0"/>
                <w:color w:val="1A1A1A"/>
                <w:sz w:val="19"/>
              </w:rPr>
              <w:t>Public since 1 September</w:t>
            </w:r>
          </w:p>
        </w:tc>
      </w:tr>
      <w:tr>
        <w:tc>
          <w:tcPr>
            <w:tcW w:type="dxa" w:w="2340"/>
          </w:tcPr>
          <w:p>
            <w:pPr>
              <w:spacing w:after="40"/>
            </w:pPr>
            <w:r>
              <w:rPr>
                <w:rFonts w:ascii="Calibri" w:hAnsi="Calibri"/>
                <w:b w:val="0"/>
                <w:i w:val="0"/>
                <w:color w:val="1A1A1A"/>
                <w:sz w:val="19"/>
              </w:rPr>
              <w:t>Charter Next Generation</w:t>
            </w:r>
          </w:p>
        </w:tc>
        <w:tc>
          <w:tcPr>
            <w:tcW w:type="dxa" w:w="2340"/>
          </w:tcPr>
          <w:p>
            <w:pPr>
              <w:spacing w:after="40"/>
            </w:pPr>
            <w:r>
              <w:rPr>
                <w:rFonts w:ascii="Calibri" w:hAnsi="Calibri"/>
                <w:b w:val="0"/>
                <w:i w:val="0"/>
                <w:color w:val="1A1A1A"/>
                <w:sz w:val="19"/>
              </w:rPr>
              <w:t>26-0224, 26-0225</w:t>
            </w:r>
          </w:p>
        </w:tc>
        <w:tc>
          <w:tcPr>
            <w:tcW w:type="dxa" w:w="2340"/>
          </w:tcPr>
          <w:p>
            <w:pPr>
              <w:spacing w:after="40"/>
            </w:pPr>
            <w:r>
              <w:rPr>
                <w:rFonts w:ascii="Calibri" w:hAnsi="Calibri"/>
                <w:b w:val="0"/>
                <w:i w:val="0"/>
                <w:color w:val="1A1A1A"/>
                <w:sz w:val="19"/>
              </w:rPr>
              <w:t>1 September 2026</w:t>
            </w:r>
          </w:p>
        </w:tc>
        <w:tc>
          <w:tcPr>
            <w:tcW w:type="dxa" w:w="2340"/>
          </w:tcPr>
          <w:p>
            <w:pPr>
              <w:spacing w:after="40"/>
            </w:pPr>
            <w:r>
              <w:rPr>
                <w:rFonts w:ascii="Calibri" w:hAnsi="Calibri"/>
                <w:b/>
                <w:i w:val="0"/>
                <w:color w:val="1A1A1A"/>
                <w:sz w:val="19"/>
              </w:rPr>
              <w:t>Public since 1 September</w:t>
            </w:r>
          </w:p>
        </w:tc>
      </w:tr>
      <w:tr>
        <w:tc>
          <w:tcPr>
            <w:tcW w:type="dxa" w:w="2340"/>
            <w:shd w:val="clear" w:fill="F2F5F3"/>
          </w:tcPr>
          <w:p>
            <w:pPr>
              <w:spacing w:after="40"/>
            </w:pPr>
            <w:r>
              <w:rPr>
                <w:rFonts w:ascii="Calibri" w:hAnsi="Calibri"/>
                <w:b w:val="0"/>
                <w:i w:val="0"/>
                <w:color w:val="1A1A1A"/>
                <w:sz w:val="19"/>
              </w:rPr>
              <w:t>DuPont Performance Building Solutions</w:t>
            </w:r>
          </w:p>
        </w:tc>
        <w:tc>
          <w:tcPr>
            <w:tcW w:type="dxa" w:w="2340"/>
            <w:shd w:val="clear" w:fill="F2F5F3"/>
          </w:tcPr>
          <w:p>
            <w:pPr>
              <w:spacing w:after="40"/>
            </w:pPr>
            <w:r>
              <w:rPr>
                <w:rFonts w:ascii="Calibri" w:hAnsi="Calibri"/>
                <w:b w:val="0"/>
                <w:i w:val="0"/>
                <w:color w:val="1A1A1A"/>
                <w:sz w:val="19"/>
              </w:rPr>
              <w:t>26-0330</w:t>
            </w:r>
          </w:p>
        </w:tc>
        <w:tc>
          <w:tcPr>
            <w:tcW w:type="dxa" w:w="2340"/>
            <w:shd w:val="clear" w:fill="F2F5F3"/>
          </w:tcPr>
          <w:p>
            <w:pPr>
              <w:spacing w:after="40"/>
            </w:pPr>
            <w:r>
              <w:rPr>
                <w:rFonts w:ascii="Calibri" w:hAnsi="Calibri"/>
                <w:b w:val="0"/>
                <w:i w:val="0"/>
                <w:color w:val="1A1A1A"/>
                <w:sz w:val="19"/>
              </w:rPr>
              <w:t>11 September 2026</w:t>
            </w:r>
          </w:p>
        </w:tc>
        <w:tc>
          <w:tcPr>
            <w:tcW w:type="dxa" w:w="2340"/>
            <w:shd w:val="clear" w:fill="F2F5F3"/>
          </w:tcPr>
          <w:p>
            <w:pPr>
              <w:spacing w:after="40"/>
            </w:pPr>
            <w:r>
              <w:rPr>
                <w:rFonts w:ascii="Calibri" w:hAnsi="Calibri"/>
                <w:b w:val="0"/>
                <w:i w:val="0"/>
                <w:color w:val="1A1A1A"/>
                <w:sz w:val="19"/>
              </w:rPr>
              <w:t>Publishes 11 September</w:t>
            </w:r>
          </w:p>
        </w:tc>
      </w:tr>
      <w:tr>
        <w:tc>
          <w:tcPr>
            <w:tcW w:type="dxa" w:w="2340"/>
          </w:tcPr>
          <w:p>
            <w:pPr>
              <w:spacing w:after="40"/>
            </w:pPr>
            <w:r>
              <w:rPr>
                <w:rFonts w:ascii="Calibri" w:hAnsi="Calibri"/>
                <w:b w:val="0"/>
                <w:i w:val="0"/>
                <w:color w:val="1A1A1A"/>
                <w:sz w:val="19"/>
              </w:rPr>
              <w:t>X-SENSE</w:t>
            </w:r>
          </w:p>
        </w:tc>
        <w:tc>
          <w:tcPr>
            <w:tcW w:type="dxa" w:w="2340"/>
          </w:tcPr>
          <w:p>
            <w:pPr>
              <w:spacing w:after="40"/>
            </w:pPr>
            <w:r>
              <w:rPr>
                <w:rFonts w:ascii="Calibri" w:hAnsi="Calibri"/>
                <w:b w:val="0"/>
                <w:i w:val="0"/>
                <w:color w:val="1A1A1A"/>
                <w:sz w:val="19"/>
              </w:rPr>
              <w:t>26-0441, 26-0442</w:t>
            </w:r>
          </w:p>
        </w:tc>
        <w:tc>
          <w:tcPr>
            <w:tcW w:type="dxa" w:w="2340"/>
          </w:tcPr>
          <w:p>
            <w:pPr>
              <w:spacing w:after="40"/>
            </w:pPr>
            <w:r>
              <w:rPr>
                <w:rFonts w:ascii="Calibri" w:hAnsi="Calibri"/>
                <w:b w:val="0"/>
                <w:i w:val="0"/>
                <w:color w:val="1A1A1A"/>
                <w:sz w:val="19"/>
              </w:rPr>
              <w:t>21 October 2026</w:t>
            </w:r>
          </w:p>
        </w:tc>
        <w:tc>
          <w:tcPr>
            <w:tcW w:type="dxa" w:w="2340"/>
          </w:tcPr>
          <w:p>
            <w:pPr>
              <w:spacing w:after="40"/>
            </w:pPr>
            <w:r>
              <w:rPr>
                <w:rFonts w:ascii="Calibri" w:hAnsi="Calibri"/>
                <w:b w:val="0"/>
                <w:i w:val="0"/>
                <w:color w:val="1A1A1A"/>
                <w:sz w:val="19"/>
              </w:rPr>
              <w:t>Publishes 21 October</w:t>
            </w:r>
          </w:p>
        </w:tc>
      </w:tr>
    </w:tbl>
    <w:p>
      <w:pPr>
        <w:spacing w:after="80"/>
      </w:pPr>
    </w:p>
    <w:p>
      <w:pPr>
        <w:spacing w:after="160"/>
      </w:pPr>
      <w:r>
        <w:rPr>
          <w:rFonts w:ascii="Calibri" w:hAnsi="Calibri"/>
          <w:b/>
          <w:i w:val="0"/>
          <w:color w:val="1A1A1A"/>
          <w:sz w:val="21"/>
        </w:rPr>
        <w:t>Thirteen of the sixteen have already gone public on their own</w:t>
      </w:r>
      <w:r>
        <w:rPr>
          <w:rFonts w:ascii="Calibri" w:hAnsi="Calibri"/>
          <w:b w:val="0"/>
          <w:i w:val="0"/>
          <w:color w:val="1A1A1A"/>
          <w:sz w:val="21"/>
        </w:rPr>
        <w:t>, with no action from anyone. The remaining three will publish on the dates shown. No action is needed on any of them.</w:t>
      </w:r>
    </w:p>
    <w:p>
      <w:pPr>
        <w:spacing w:after="160"/>
      </w:pPr>
      <w:r>
        <w:rPr>
          <w:rFonts w:ascii="Calibri" w:hAnsi="Calibri"/>
          <w:b/>
          <w:i w:val="0"/>
          <w:color w:val="1A1A1A"/>
          <w:sz w:val="21"/>
        </w:rPr>
        <w:t>Certificate export 5,702 against 5,731 sent — a difference of 29.</w:t>
      </w:r>
      <w:r>
        <w:rPr>
          <w:rFonts w:ascii="Calibri" w:hAnsi="Calibri"/>
          <w:b w:val="0"/>
          <w:i w:val="0"/>
          <w:color w:val="1A1A1A"/>
          <w:sz w:val="21"/>
        </w:rPr>
        <w:t xml:space="preserve"> These are the incomplete source records we withheld in August and listed on the </w:t>
      </w:r>
      <w:r>
        <w:rPr>
          <w:rFonts w:ascii="Calibri" w:hAnsi="Calibri"/>
          <w:b/>
          <w:i w:val="0"/>
          <w:color w:val="1A1A1A"/>
          <w:sz w:val="21"/>
        </w:rPr>
        <w:t>Not Loaded (29)</w:t>
      </w:r>
      <w:r>
        <w:rPr>
          <w:rFonts w:ascii="Calibri" w:hAnsi="Calibri"/>
          <w:b w:val="0"/>
          <w:i w:val="0"/>
          <w:color w:val="1A1A1A"/>
          <w:sz w:val="21"/>
        </w:rPr>
        <w:t xml:space="preserve"> tab. Re-checked today and unchanged: 13 with no expiration date, 11 with no product name, 3 missing the product name and both dates, and 2 with no effective date. Twenty-seven came from Expired List 1 - 4.9.26 and two from Active List 7.31.26.</w:t>
      </w:r>
    </w:p>
    <w:p>
      <w:pPr>
        <w:keepNext/>
        <w:spacing w:before="320" w:after="40"/>
        <w:pBdr>
          <w:bottom w:val="single" w:sz="8" w:space="4" w:color="1F4D38"/>
        </w:pBdr>
      </w:pPr>
      <w:r>
        <w:rPr>
          <w:rFonts w:ascii="Georgia" w:hAnsi="Georgia"/>
          <w:b/>
          <w:color w:val="1F4D38"/>
          <w:sz w:val="28"/>
        </w:rPr>
        <w:t>5. Why these counts keep moving</w:t>
      </w:r>
    </w:p>
    <w:p>
      <w:pPr>
        <w:spacing w:after="160"/>
      </w:pPr>
      <w:r>
        <w:rPr>
          <w:rFonts w:ascii="Calibri" w:hAnsi="Calibri"/>
          <w:b w:val="0"/>
          <w:i w:val="0"/>
          <w:color w:val="1A1A1A"/>
          <w:sz w:val="21"/>
        </w:rPr>
        <w:t xml:space="preserve">The two figures measure different things on purpose. </w:t>
      </w:r>
      <w:r>
        <w:rPr>
          <w:rFonts w:ascii="Calibri" w:hAnsi="Calibri"/>
          <w:b/>
          <w:i w:val="0"/>
          <w:color w:val="1A1A1A"/>
          <w:sz w:val="21"/>
        </w:rPr>
        <w:t>Active</w:t>
      </w:r>
      <w:r>
        <w:rPr>
          <w:rFonts w:ascii="Calibri" w:hAnsi="Calibri"/>
          <w:b w:val="0"/>
          <w:i w:val="0"/>
          <w:color w:val="1A1A1A"/>
          <w:sz w:val="21"/>
        </w:rPr>
        <w:t xml:space="preserve"> means approved and not yet expired. </w:t>
      </w:r>
      <w:r>
        <w:rPr>
          <w:rFonts w:ascii="Calibri" w:hAnsi="Calibri"/>
          <w:b/>
          <w:i w:val="0"/>
          <w:color w:val="1A1A1A"/>
          <w:sz w:val="21"/>
        </w:rPr>
        <w:t>Public</w:t>
      </w:r>
      <w:r>
        <w:rPr>
          <w:rFonts w:ascii="Calibri" w:hAnsi="Calibri"/>
          <w:b w:val="0"/>
          <w:i w:val="0"/>
          <w:color w:val="1A1A1A"/>
          <w:sz w:val="21"/>
        </w:rPr>
        <w:t xml:space="preserve"> means approved and today falls between the effective and expiration dates. Certificates cross into and out of that window every day on their own.</w:t>
      </w:r>
    </w:p>
    <w:p>
      <w:pPr>
        <w:spacing w:after="160"/>
      </w:pPr>
      <w:r>
        <w:rPr>
          <w:rFonts w:ascii="Calibri" w:hAnsi="Calibri"/>
          <w:b w:val="0"/>
          <w:i w:val="0"/>
          <w:color w:val="1A1A1A"/>
          <w:sz w:val="21"/>
        </w:rPr>
        <w:t xml:space="preserve">Between 27 August and today alone, </w:t>
      </w:r>
      <w:r>
        <w:rPr>
          <w:rFonts w:ascii="Calibri" w:hAnsi="Calibri"/>
          <w:b/>
          <w:i w:val="0"/>
          <w:color w:val="1A1A1A"/>
          <w:sz w:val="21"/>
        </w:rPr>
        <w:t>108 certificates reached their expiration date</w:t>
      </w:r>
      <w:r>
        <w:rPr>
          <w:rFonts w:ascii="Calibri" w:hAnsi="Calibri"/>
          <w:b w:val="0"/>
          <w:i w:val="0"/>
          <w:color w:val="1A1A1A"/>
          <w:sz w:val="21"/>
        </w:rPr>
        <w:t xml:space="preserve"> and moved to Expired, and </w:t>
      </w:r>
      <w:r>
        <w:rPr>
          <w:rFonts w:ascii="Calibri" w:hAnsi="Calibri"/>
          <w:b/>
          <w:i w:val="0"/>
          <w:color w:val="1A1A1A"/>
          <w:sz w:val="21"/>
        </w:rPr>
        <w:t>13 reached their effective date</w:t>
      </w:r>
      <w:r>
        <w:rPr>
          <w:rFonts w:ascii="Calibri" w:hAnsi="Calibri"/>
          <w:b w:val="0"/>
          <w:i w:val="0"/>
          <w:color w:val="1A1A1A"/>
          <w:sz w:val="21"/>
        </w:rPr>
        <w:t xml:space="preserve"> and became public. Every one of those changes is recorded with a reason in the Audit History.</w:t>
      </w:r>
    </w:p>
    <w:p>
      <w:pPr>
        <w:spacing w:after="160"/>
      </w:pPr>
      <w:r>
        <w:rPr>
          <w:rFonts w:ascii="Calibri" w:hAnsi="Calibri"/>
          <w:b w:val="0"/>
          <w:i w:val="0"/>
          <w:color w:val="1A1A1A"/>
          <w:sz w:val="21"/>
        </w:rPr>
        <w:t xml:space="preserve">So a count taken on 27 August will not match a count taken today, and neither is wrong. When you want to compare two sets, compare them </w:t>
      </w:r>
      <w:r>
        <w:rPr>
          <w:rFonts w:ascii="Calibri" w:hAnsi="Calibri"/>
          <w:b/>
          <w:i w:val="0"/>
          <w:color w:val="1A1A1A"/>
          <w:sz w:val="21"/>
        </w:rPr>
        <w:t>as of the same date</w:t>
      </w:r>
      <w:r>
        <w:rPr>
          <w:rFonts w:ascii="Calibri" w:hAnsi="Calibri"/>
          <w:b w:val="0"/>
          <w:i w:val="0"/>
          <w:color w:val="1A1A1A"/>
          <w:sz w:val="21"/>
        </w:rPr>
        <w:t xml:space="preserve"> — we are glad to produce a dated snapshot whenever you need one.</w:t>
      </w:r>
    </w:p>
    <w:p>
      <w:pPr>
        <w:keepNext/>
        <w:spacing w:before="320" w:after="40"/>
        <w:pBdr>
          <w:bottom w:val="single" w:sz="8" w:space="4" w:color="1F4D38"/>
        </w:pBdr>
      </w:pPr>
      <w:r>
        <w:rPr>
          <w:rFonts w:ascii="Georgia" w:hAnsi="Georgia"/>
          <w:b/>
          <w:color w:val="1F4D38"/>
          <w:sz w:val="28"/>
        </w:rPr>
        <w:t>6. What we still need from you</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4D38"/>
          </w:tcPr>
          <w:p>
            <w:pPr>
              <w:spacing w:after="40"/>
            </w:pPr>
            <w:r>
              <w:rPr>
                <w:rFonts w:ascii="Calibri" w:hAnsi="Calibri"/>
                <w:b/>
                <w:color w:val="FFFFFF"/>
                <w:sz w:val="19"/>
              </w:rPr>
            </w:r>
          </w:p>
        </w:tc>
        <w:tc>
          <w:tcPr>
            <w:tcW w:type="dxa" w:w="3120"/>
            <w:shd w:val="clear" w:fill="1F4D38"/>
          </w:tcPr>
          <w:p>
            <w:pPr>
              <w:spacing w:after="40"/>
            </w:pPr>
            <w:r>
              <w:rPr>
                <w:rFonts w:ascii="Calibri" w:hAnsi="Calibri"/>
                <w:b/>
                <w:color w:val="FFFFFF"/>
                <w:sz w:val="19"/>
              </w:rPr>
              <w:t>What we need</w:t>
            </w:r>
          </w:p>
        </w:tc>
        <w:tc>
          <w:tcPr>
            <w:tcW w:type="dxa" w:w="3120"/>
            <w:shd w:val="clear" w:fill="1F4D38"/>
          </w:tcPr>
          <w:p>
            <w:pPr>
              <w:spacing w:after="40"/>
            </w:pPr>
            <w:r>
              <w:rPr>
                <w:rFonts w:ascii="Calibri" w:hAnsi="Calibri"/>
                <w:b/>
                <w:color w:val="FFFFFF"/>
                <w:sz w:val="19"/>
              </w:rPr>
              <w:t>Why it matters</w:t>
            </w:r>
          </w:p>
        </w:tc>
      </w:tr>
      <w:tr>
        <w:tc>
          <w:tcPr>
            <w:tcW w:type="dxa" w:w="3120"/>
          </w:tcPr>
          <w:p>
            <w:pPr>
              <w:spacing w:after="40"/>
            </w:pPr>
            <w:r>
              <w:rPr>
                <w:rFonts w:ascii="Calibri" w:hAnsi="Calibri"/>
                <w:b w:val="0"/>
                <w:i w:val="0"/>
                <w:color w:val="1A1A1A"/>
                <w:sz w:val="19"/>
              </w:rPr>
              <w:t>1</w:t>
            </w:r>
          </w:p>
        </w:tc>
        <w:tc>
          <w:tcPr>
            <w:tcW w:type="dxa" w:w="3120"/>
          </w:tcPr>
          <w:p>
            <w:pPr>
              <w:spacing w:after="40"/>
            </w:pPr>
            <w:r>
              <w:rPr>
                <w:rFonts w:ascii="Calibri" w:hAnsi="Calibri"/>
                <w:b/>
                <w:i w:val="0"/>
                <w:color w:val="1A1A1A"/>
                <w:sz w:val="19"/>
              </w:rPr>
              <w:t>Should the three Kohler certificates be associated with Amazon?</w:t>
            </w:r>
          </w:p>
        </w:tc>
        <w:tc>
          <w:tcPr>
            <w:tcW w:type="dxa" w:w="3120"/>
          </w:tcPr>
          <w:p>
            <w:pPr>
              <w:spacing w:after="40"/>
            </w:pPr>
            <w:r>
              <w:rPr>
                <w:rFonts w:ascii="Calibri" w:hAnsi="Calibri"/>
                <w:b w:val="0"/>
                <w:i w:val="0"/>
                <w:color w:val="1A1A1A"/>
                <w:sz w:val="19"/>
              </w:rPr>
              <w:t>1,959 identifiers currently reach no partner.</w:t>
            </w:r>
          </w:p>
        </w:tc>
      </w:tr>
      <w:tr>
        <w:tc>
          <w:tcPr>
            <w:tcW w:type="dxa" w:w="3120"/>
            <w:shd w:val="clear" w:fill="F2F5F3"/>
          </w:tcPr>
          <w:p>
            <w:pPr>
              <w:spacing w:after="40"/>
            </w:pPr>
            <w:r>
              <w:rPr>
                <w:rFonts w:ascii="Calibri" w:hAnsi="Calibri"/>
                <w:b w:val="0"/>
                <w:i w:val="0"/>
                <w:color w:val="1A1A1A"/>
                <w:sz w:val="19"/>
              </w:rPr>
              <w:t>2</w:t>
            </w:r>
          </w:p>
        </w:tc>
        <w:tc>
          <w:tcPr>
            <w:tcW w:type="dxa" w:w="3120"/>
            <w:shd w:val="clear" w:fill="F2F5F3"/>
          </w:tcPr>
          <w:p>
            <w:pPr>
              <w:spacing w:after="40"/>
            </w:pPr>
            <w:r>
              <w:rPr>
                <w:rFonts w:ascii="Calibri" w:hAnsi="Calibri"/>
                <w:b/>
                <w:i w:val="0"/>
                <w:color w:val="1A1A1A"/>
                <w:sz w:val="19"/>
              </w:rPr>
              <w:t>Is 244 certificates the Amazon population you intend?</w:t>
            </w:r>
            <w:r>
              <w:rPr>
                <w:rFonts w:ascii="Calibri" w:hAnsi="Calibri"/>
                <w:b w:val="0"/>
                <w:i w:val="0"/>
                <w:color w:val="1A1A1A"/>
                <w:sz w:val="19"/>
              </w:rPr>
              <w:t xml:space="preserve"> See the Partner Coverage tab.</w:t>
            </w:r>
          </w:p>
        </w:tc>
        <w:tc>
          <w:tcPr>
            <w:tcW w:type="dxa" w:w="3120"/>
            <w:shd w:val="clear" w:fill="F2F5F3"/>
          </w:tcPr>
          <w:p>
            <w:pPr>
              <w:spacing w:after="40"/>
            </w:pPr>
            <w:r>
              <w:rPr>
                <w:rFonts w:ascii="Calibri" w:hAnsi="Calibri"/>
                <w:b w:val="0"/>
                <w:i w:val="0"/>
                <w:color w:val="1A1A1A"/>
                <w:sz w:val="19"/>
              </w:rPr>
              <w:t>683 active certificates carry no partner; 54 carry Amazon but no identifiers.</w:t>
            </w:r>
          </w:p>
        </w:tc>
      </w:tr>
      <w:tr>
        <w:tc>
          <w:tcPr>
            <w:tcW w:type="dxa" w:w="3120"/>
          </w:tcPr>
          <w:p>
            <w:pPr>
              <w:spacing w:after="40"/>
            </w:pPr>
            <w:r>
              <w:rPr>
                <w:rFonts w:ascii="Calibri" w:hAnsi="Calibri"/>
                <w:b w:val="0"/>
                <w:i w:val="0"/>
                <w:color w:val="1A1A1A"/>
                <w:sz w:val="19"/>
              </w:rPr>
              <w:t>3</w:t>
            </w:r>
          </w:p>
        </w:tc>
        <w:tc>
          <w:tcPr>
            <w:tcW w:type="dxa" w:w="3120"/>
          </w:tcPr>
          <w:p>
            <w:pPr>
              <w:spacing w:after="40"/>
            </w:pPr>
            <w:r>
              <w:rPr>
                <w:rFonts w:ascii="Calibri" w:hAnsi="Calibri"/>
                <w:b/>
                <w:i w:val="0"/>
                <w:color w:val="1A1A1A"/>
                <w:sz w:val="19"/>
              </w:rPr>
              <w:t>Expiration dates for the two Sofidel certificates</w:t>
            </w:r>
            <w:r>
              <w:rPr>
                <w:rFonts w:ascii="Calibri" w:hAnsi="Calibri"/>
                <w:b w:val="0"/>
                <w:i w:val="0"/>
                <w:color w:val="1A1A1A"/>
                <w:sz w:val="19"/>
              </w:rPr>
              <w:t>, 23-0358 and 25-0351</w:t>
            </w:r>
          </w:p>
        </w:tc>
        <w:tc>
          <w:tcPr>
            <w:tcW w:type="dxa" w:w="3120"/>
          </w:tcPr>
          <w:p>
            <w:pPr>
              <w:spacing w:after="40"/>
            </w:pPr>
            <w:r>
              <w:rPr>
                <w:rFonts w:ascii="Calibri" w:hAnsi="Calibri"/>
                <w:b w:val="0"/>
                <w:i w:val="0"/>
                <w:color w:val="1A1A1A"/>
                <w:sz w:val="19"/>
              </w:rPr>
              <w:t>They are the only live records missing from the site.</w:t>
            </w:r>
          </w:p>
        </w:tc>
      </w:tr>
      <w:tr>
        <w:tc>
          <w:tcPr>
            <w:tcW w:type="dxa" w:w="3120"/>
            <w:shd w:val="clear" w:fill="F2F5F3"/>
          </w:tcPr>
          <w:p>
            <w:pPr>
              <w:spacing w:after="40"/>
            </w:pPr>
            <w:r>
              <w:rPr>
                <w:rFonts w:ascii="Calibri" w:hAnsi="Calibri"/>
                <w:b w:val="0"/>
                <w:i w:val="0"/>
                <w:color w:val="1A1A1A"/>
                <w:sz w:val="19"/>
              </w:rPr>
              <w:t>4</w:t>
            </w:r>
          </w:p>
        </w:tc>
        <w:tc>
          <w:tcPr>
            <w:tcW w:type="dxa" w:w="3120"/>
            <w:shd w:val="clear" w:fill="F2F5F3"/>
          </w:tcPr>
          <w:p>
            <w:pPr>
              <w:spacing w:after="40"/>
            </w:pPr>
            <w:r>
              <w:rPr>
                <w:rFonts w:ascii="Calibri" w:hAnsi="Calibri"/>
                <w:b/>
                <w:i w:val="0"/>
                <w:color w:val="1A1A1A"/>
                <w:sz w:val="19"/>
              </w:rPr>
              <w:t>The other 27 incomplete records</w:t>
            </w:r>
            <w:r>
              <w:rPr>
                <w:rFonts w:ascii="Calibri" w:hAnsi="Calibri"/>
                <w:b w:val="0"/>
                <w:i w:val="0"/>
                <w:color w:val="1A1A1A"/>
                <w:sz w:val="19"/>
              </w:rPr>
              <w:t xml:space="preserve"> — supply the missing values, or confirm we leave them out permanently</w:t>
            </w:r>
          </w:p>
        </w:tc>
        <w:tc>
          <w:tcPr>
            <w:tcW w:type="dxa" w:w="3120"/>
            <w:shd w:val="clear" w:fill="F2F5F3"/>
          </w:tcPr>
          <w:p>
            <w:pPr>
              <w:spacing w:after="40"/>
            </w:pPr>
            <w:r>
              <w:rPr>
                <w:rFonts w:ascii="Calibri" w:hAnsi="Calibri"/>
                <w:b w:val="0"/>
                <w:i w:val="0"/>
                <w:color w:val="1A1A1A"/>
                <w:sz w:val="19"/>
              </w:rPr>
              <w:t>Closes the 5,731 against 5,702 difference for good. All 27 are expired history.</w:t>
            </w:r>
          </w:p>
        </w:tc>
      </w:tr>
      <w:tr>
        <w:tc>
          <w:tcPr>
            <w:tcW w:type="dxa" w:w="3120"/>
          </w:tcPr>
          <w:p>
            <w:pPr>
              <w:spacing w:after="40"/>
            </w:pPr>
            <w:r>
              <w:rPr>
                <w:rFonts w:ascii="Calibri" w:hAnsi="Calibri"/>
                <w:b w:val="0"/>
                <w:i w:val="0"/>
                <w:color w:val="1A1A1A"/>
                <w:sz w:val="19"/>
              </w:rPr>
              <w:t>5</w:t>
            </w:r>
          </w:p>
        </w:tc>
        <w:tc>
          <w:tcPr>
            <w:tcW w:type="dxa" w:w="3120"/>
          </w:tcPr>
          <w:p>
            <w:pPr>
              <w:spacing w:after="40"/>
            </w:pPr>
            <w:r>
              <w:rPr>
                <w:rFonts w:ascii="Calibri" w:hAnsi="Calibri"/>
                <w:b/>
                <w:i w:val="0"/>
                <w:color w:val="1A1A1A"/>
                <w:sz w:val="19"/>
              </w:rPr>
              <w:t>Certificate 24-1634</w:t>
            </w:r>
            <w:r>
              <w:rPr>
                <w:rFonts w:ascii="Calibri" w:hAnsi="Calibri"/>
                <w:b w:val="0"/>
                <w:i w:val="0"/>
                <w:color w:val="1A1A1A"/>
                <w:sz w:val="19"/>
              </w:rPr>
              <w:t xml:space="preserve"> — your files give two certification results, 0.63 and 0.23. We loaded 0.63, matching the certificate listing. Please confirm.</w:t>
            </w:r>
          </w:p>
        </w:tc>
        <w:tc>
          <w:tcPr>
            <w:tcW w:type="dxa" w:w="3120"/>
          </w:tcPr>
          <w:p>
            <w:pPr>
              <w:spacing w:after="40"/>
            </w:pPr>
            <w:r>
              <w:rPr>
                <w:rFonts w:ascii="Calibri" w:hAnsi="Calibri"/>
                <w:b w:val="0"/>
                <w:i w:val="0"/>
                <w:color w:val="1A1A1A"/>
                <w:sz w:val="19"/>
              </w:rPr>
              <w:t>The certificate is publicly visible either way.</w:t>
            </w:r>
          </w:p>
        </w:tc>
      </w:tr>
      <w:tr>
        <w:tc>
          <w:tcPr>
            <w:tcW w:type="dxa" w:w="3120"/>
            <w:shd w:val="clear" w:fill="F2F5F3"/>
          </w:tcPr>
          <w:p>
            <w:pPr>
              <w:spacing w:after="40"/>
            </w:pPr>
            <w:r>
              <w:rPr>
                <w:rFonts w:ascii="Calibri" w:hAnsi="Calibri"/>
                <w:b w:val="0"/>
                <w:i w:val="0"/>
                <w:color w:val="1A1A1A"/>
                <w:sz w:val="19"/>
              </w:rPr>
              <w:t>6</w:t>
            </w:r>
          </w:p>
        </w:tc>
        <w:tc>
          <w:tcPr>
            <w:tcW w:type="dxa" w:w="3120"/>
            <w:shd w:val="clear" w:fill="F2F5F3"/>
          </w:tcPr>
          <w:p>
            <w:pPr>
              <w:spacing w:after="40"/>
            </w:pPr>
            <w:r>
              <w:rPr>
                <w:rFonts w:ascii="Calibri" w:hAnsi="Calibri"/>
                <w:b/>
                <w:i w:val="0"/>
                <w:color w:val="1A1A1A"/>
                <w:sz w:val="19"/>
              </w:rPr>
              <w:t>The blank product names tab</w:t>
            </w:r>
            <w:r>
              <w:rPr>
                <w:rFonts w:ascii="Calibri" w:hAnsi="Calibri"/>
                <w:b w:val="0"/>
                <w:i w:val="0"/>
                <w:color w:val="1A1A1A"/>
                <w:sz w:val="19"/>
              </w:rPr>
              <w:t>, resent with the green cells intact</w:t>
            </w:r>
          </w:p>
        </w:tc>
        <w:tc>
          <w:tcPr>
            <w:tcW w:type="dxa" w:w="3120"/>
            <w:shd w:val="clear" w:fill="F2F5F3"/>
          </w:tcPr>
          <w:p>
            <w:pPr>
              <w:spacing w:after="40"/>
            </w:pPr>
            <w:r>
              <w:rPr>
                <w:rFonts w:ascii="Calibri" w:hAnsi="Calibri"/>
                <w:b w:val="0"/>
                <w:i w:val="0"/>
                <w:color w:val="1A1A1A"/>
                <w:sz w:val="19"/>
              </w:rPr>
              <w:t>11 identifiers on 2 certificates.</w:t>
            </w:r>
          </w:p>
        </w:tc>
      </w:tr>
    </w:tbl>
    <w:p>
      <w:pPr>
        <w:spacing w:after="80"/>
      </w:pPr>
    </w:p>
    <w:p>
      <w:pPr>
        <w:spacing w:after="160"/>
      </w:pPr>
      <w:r>
        <w:rPr>
          <w:rFonts w:ascii="Calibri" w:hAnsi="Calibri"/>
          <w:b w:val="0"/>
          <w:i w:val="0"/>
          <w:color w:val="1A1A1A"/>
          <w:sz w:val="21"/>
        </w:rPr>
        <w:t>One item from the August letter is still open and is a preference rather than a blocker: where several certificates share a certificate number, should the public site indicate that the number is shared? Tell us either way whenever convenient.</w:t>
      </w:r>
    </w:p>
    <w:p>
      <w:pPr>
        <w:spacing w:after="0" w:before="360"/>
        <w:pBdr>
          <w:bottom w:val="single" w:sz="6" w:space="4" w:color="C9D4CE"/>
        </w:pBdr>
      </w:pPr>
      <w:r>
        <w:rPr>
          <w:rFonts w:ascii="Calibri" w:hAnsi="Calibri"/>
          <w:b w:val="0"/>
          <w:i w:val="0"/>
          <w:color w:val="4A5550"/>
          <w:sz w:val="18"/>
        </w:rPr>
        <w:t>Anuki Consulting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