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5F6B66"/>
          <w:sz w:val="18"/>
        </w:rPr>
        <w:t>EMAIL DRAFT — FOR REVIEW</w:t>
      </w:r>
    </w:p>
    <w:p>
      <w:pPr>
        <w:spacing w:after="200"/>
      </w:pPr>
      <w:r>
        <w:rPr>
          <w:b/>
          <w:i w:val="0"/>
          <w:color w:val="1B5E3F"/>
          <w:sz w:val="38"/>
        </w:rPr>
        <w:t>Key System Backend Functions — open items answered</w:t>
      </w:r>
    </w:p>
    <w:p>
      <w:pPr>
        <w:tabs>
          <w:tab w:pos="1368" w:val="left"/>
        </w:tabs>
        <w:spacing w:after="60" w:line="240" w:lineRule="auto"/>
      </w:pPr>
      <w:r>
        <w:rPr>
          <w:b/>
          <w:i w:val="0"/>
          <w:color w:val="5F6B66"/>
          <w:sz w:val="19"/>
        </w:rPr>
        <w:t>SUBJECT</w:t>
      </w:r>
      <w:r>
        <w:tab/>
      </w:r>
      <w:r>
        <w:rPr>
          <w:b/>
          <w:i w:val="0"/>
          <w:color w:val="212121"/>
          <w:sz w:val="21"/>
        </w:rPr>
        <w:t>Key System Backend Functions — open items answered (timeout, character limits)</w:t>
      </w:r>
    </w:p>
    <w:p>
      <w:pPr>
        <w:tabs>
          <w:tab w:pos="1368" w:val="left"/>
        </w:tabs>
        <w:spacing w:after="60" w:line="240" w:lineRule="auto"/>
      </w:pPr>
      <w:r>
        <w:rPr>
          <w:b/>
          <w:i w:val="0"/>
          <w:color w:val="5F6B66"/>
          <w:sz w:val="19"/>
        </w:rPr>
        <w:t>TO</w:t>
      </w:r>
      <w:r>
        <w:tab/>
      </w:r>
      <w:r>
        <w:rPr>
          <w:b w:val="0"/>
          <w:i w:val="0"/>
          <w:color w:val="212121"/>
          <w:sz w:val="21"/>
        </w:rPr>
        <w:t>[Client contact]</w:t>
      </w:r>
    </w:p>
    <w:p>
      <w:pPr>
        <w:tabs>
          <w:tab w:pos="1368" w:val="left"/>
        </w:tabs>
        <w:spacing w:after="60" w:line="240" w:lineRule="auto"/>
      </w:pPr>
      <w:r>
        <w:rPr>
          <w:b/>
          <w:i w:val="0"/>
          <w:color w:val="5F6B66"/>
          <w:sz w:val="19"/>
        </w:rPr>
        <w:t>FROM</w:t>
      </w:r>
      <w:r>
        <w:tab/>
      </w:r>
      <w:r>
        <w:rPr>
          <w:b w:val="0"/>
          <w:i w:val="0"/>
          <w:color w:val="212121"/>
          <w:sz w:val="21"/>
        </w:rPr>
        <w:t>Shawn West, Anuki Consulting</w:t>
      </w:r>
    </w:p>
    <w:p>
      <w:pPr>
        <w:tabs>
          <w:tab w:pos="1368" w:val="left"/>
        </w:tabs>
        <w:spacing w:after="60" w:line="240" w:lineRule="auto"/>
      </w:pPr>
      <w:r>
        <w:rPr>
          <w:b/>
          <w:i w:val="0"/>
          <w:color w:val="5F6B66"/>
          <w:sz w:val="19"/>
        </w:rPr>
        <w:t>DATE</w:t>
      </w:r>
      <w:r>
        <w:tab/>
      </w:r>
      <w:r>
        <w:rPr>
          <w:b w:val="0"/>
          <w:i w:val="0"/>
          <w:color w:val="212121"/>
          <w:sz w:val="21"/>
        </w:rPr>
        <w:t>14 August 2026</w:t>
      </w:r>
    </w:p>
    <w:p>
      <w:pPr>
        <w:tabs>
          <w:tab w:pos="1368" w:val="left"/>
        </w:tabs>
        <w:spacing w:after="60" w:line="240" w:lineRule="auto"/>
      </w:pPr>
      <w:r>
        <w:rPr>
          <w:b/>
          <w:i w:val="0"/>
          <w:color w:val="5F6B66"/>
          <w:sz w:val="19"/>
        </w:rPr>
        <w:t>ATTACHMENT</w:t>
      </w:r>
      <w:r>
        <w:tab/>
      </w:r>
      <w:r>
        <w:rPr>
          <w:b w:val="0"/>
          <w:i w:val="0"/>
          <w:color w:val="212121"/>
          <w:sz w:val="21"/>
        </w:rPr>
        <w:t>GCC Database - Key System Backend Functions v1.0.docx</w:t>
      </w:r>
    </w:p>
    <w:p>
      <w:pPr>
        <w:spacing w:before="200" w:after="240"/>
        <w:pBdr>
          <w:bottom w:val="single" w:sz="12" w:space="1" w:color="1B5E3F"/>
        </w:pBdr>
      </w:pPr>
    </w:p>
    <w:p>
      <w:pPr>
        <w:spacing w:after="160" w:line="276" w:lineRule="auto"/>
      </w:pPr>
      <w:r>
        <w:rPr>
          <w:b w:val="0"/>
          <w:i w:val="0"/>
          <w:color w:val="212121"/>
          <w:sz w:val="21"/>
        </w:rPr>
        <w:t>Hi [Name],</w:t>
      </w:r>
    </w:p>
    <w:p>
      <w:pPr>
        <w:spacing w:after="160" w:line="276" w:lineRule="auto"/>
      </w:pPr>
      <w:r>
        <w:rPr>
          <w:b w:val="0"/>
          <w:i w:val="0"/>
          <w:color w:val="212121"/>
          <w:sz w:val="21"/>
        </w:rPr>
        <w:t>Following up on the Key System Backend Functions section — the two outstanding questions are answered below, and I've confirmed the remaining items against the application itself rather than against earlier documentation. Two points needed a correction, noted at the end.</w:t>
      </w:r>
    </w:p>
    <w:p>
      <w:pPr>
        <w:keepNext/>
        <w:spacing w:before="320" w:after="100"/>
      </w:pPr>
      <w:r>
        <w:rPr>
          <w:b/>
          <w:i w:val="0"/>
          <w:color w:val="1B5E3F"/>
          <w:sz w:val="24"/>
        </w:rPr>
        <w:t>1.  Session Timeout</w:t>
      </w:r>
    </w:p>
    <w:p>
      <w:pPr>
        <w:spacing w:after="160" w:line="276" w:lineRule="auto"/>
      </w:pPr>
      <w:r>
        <w:rPr>
          <w:b w:val="0"/>
          <w:i w:val="0"/>
          <w:color w:val="212121"/>
          <w:sz w:val="21"/>
        </w:rPr>
        <w:t xml:space="preserve">The system times out after </w:t>
      </w:r>
      <w:r>
        <w:rPr>
          <w:b/>
          <w:i w:val="0"/>
          <w:color w:val="212121"/>
          <w:sz w:val="21"/>
        </w:rPr>
        <w:t>30 minutes of inactivity</w:t>
      </w:r>
      <w:r>
        <w:rPr>
          <w:b w:val="0"/>
          <w:i w:val="0"/>
          <w:color w:val="212121"/>
          <w:sz w:val="21"/>
        </w:rPr>
        <w:t>. It is a sliding window — the 30-minute clock resets on every page load or action, so it's 30 minutes of inactivity rather than 30 minutes per login.</w:t>
      </w:r>
    </w:p>
    <w:p>
      <w:pPr>
        <w:spacing w:after="160" w:line="276" w:lineRule="auto"/>
      </w:pPr>
      <w:r>
        <w:rPr>
          <w:b w:val="0"/>
          <w:i w:val="0"/>
          <w:color w:val="212121"/>
          <w:sz w:val="21"/>
        </w:rPr>
        <w:t xml:space="preserve">One point worth including in analyst-facing material: there is </w:t>
      </w:r>
      <w:r>
        <w:rPr>
          <w:b/>
          <w:i w:val="0"/>
          <w:color w:val="212121"/>
          <w:sz w:val="21"/>
        </w:rPr>
        <w:t>no on-screen warning before the session ends, and in-progress form data is not preserved</w:t>
      </w:r>
      <w:r>
        <w:rPr>
          <w:b w:val="0"/>
          <w:i w:val="0"/>
          <w:color w:val="212121"/>
          <w:sz w:val="21"/>
        </w:rPr>
        <w:t>. A certificate Create or Edit form left open past the timeout will return the user to the login page on submit, and unsaved entries on that form are lost. We'd recommend the guide advise saving longer certificate entries incrementally.</w:t>
      </w:r>
    </w:p>
    <w:p>
      <w:pPr>
        <w:spacing w:after="160" w:line="276" w:lineRule="auto"/>
      </w:pPr>
      <w:r>
        <w:rPr>
          <w:b w:val="0"/>
          <w:i w:val="0"/>
          <w:color w:val="212121"/>
          <w:sz w:val="21"/>
        </w:rPr>
        <w:t>If a longer window is preferable, this is a straightforward configuration change — happy to set it to whatever period works for your team.</w:t>
      </w:r>
    </w:p>
    <w:p>
      <w:pPr>
        <w:keepNext/>
        <w:spacing w:before="320" w:after="100"/>
      </w:pPr>
      <w:r>
        <w:rPr>
          <w:b/>
          <w:i w:val="0"/>
          <w:color w:val="1B5E3F"/>
          <w:sz w:val="24"/>
        </w:rPr>
        <w:t>2.  Character Limits</w:t>
      </w:r>
    </w:p>
    <w:tbl>
      <w:tblPr>
        <w:tblW w:type="auto" w:w="0"/>
        <w:jc w:val="left"/>
        <w:tblLayout w:type="fixed"/>
        <w:tblLook w:firstColumn="1" w:firstRow="1" w:lastColumn="0" w:lastRow="0" w:noHBand="0" w:noVBand="1" w:val="04A0"/>
      </w:tblPr>
      <w:tblGrid>
        <w:gridCol w:w="4752"/>
        <w:gridCol w:w="4752"/>
      </w:tblGrid>
      <w:tr>
        <w:trPr>
          <w:tblHeader w:val="true"/>
        </w:trPr>
        <w:tc>
          <w:tcPr>
            <w:tcW w:type="dxa" w:w="7056"/>
            <w:shd w:val="clear" w:color="auto" w:fill="1B5E3F"/>
            <w:tcBorders>
              <w:top w:val="single" w:sz="4" w:color="1B5E3F"/>
              <w:bottom w:val="single" w:sz="4" w:color="1B5E3F"/>
              <w:left w:val="single" w:sz="4" w:color="1B5E3F"/>
              <w:right w:val="single" w:sz="4" w:color="1B5E3F"/>
            </w:tcBorders>
            <w:tcMar>
              <w:top w:w="80" w:type="dxa"/>
              <w:bottom w:w="80" w:type="dxa"/>
              <w:left w:w="110" w:type="dxa"/>
              <w:right w:w="110" w:type="dxa"/>
            </w:tcMar>
          </w:tcPr>
          <w:p>
            <w:pPr>
              <w:spacing w:after="0"/>
            </w:pPr>
            <w:r/>
            <w:r>
              <w:rPr>
                <w:b/>
                <w:i w:val="0"/>
                <w:color w:val="FFFFFF"/>
                <w:sz w:val="20"/>
              </w:rPr>
              <w:t>Field</w:t>
            </w:r>
          </w:p>
        </w:tc>
        <w:tc>
          <w:tcPr>
            <w:tcW w:type="dxa" w:w="2304"/>
            <w:shd w:val="clear" w:color="auto" w:fill="1B5E3F"/>
            <w:tcBorders>
              <w:top w:val="single" w:sz="4" w:color="1B5E3F"/>
              <w:bottom w:val="single" w:sz="4" w:color="1B5E3F"/>
              <w:left w:val="single" w:sz="4" w:color="1B5E3F"/>
              <w:right w:val="single" w:sz="4" w:color="1B5E3F"/>
            </w:tcBorders>
            <w:tcMar>
              <w:top w:w="80" w:type="dxa"/>
              <w:bottom w:w="80" w:type="dxa"/>
              <w:left w:w="110" w:type="dxa"/>
              <w:right w:w="110" w:type="dxa"/>
            </w:tcMar>
          </w:tcPr>
          <w:p>
            <w:pPr>
              <w:spacing w:after="0"/>
            </w:pPr>
            <w:r/>
            <w:r>
              <w:rPr>
                <w:b/>
                <w:i w:val="0"/>
                <w:color w:val="FFFFFF"/>
                <w:sz w:val="20"/>
              </w:rPr>
              <w:t>Limit</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Certificate Number</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50</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Status</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50</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Location (certificate and company)</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175</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Country</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100</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Partner</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100</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i w:val="0"/>
                <w:color w:val="212121"/>
                <w:sz w:val="20"/>
              </w:rPr>
              <w:t>Certification Results</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i w:val="0"/>
                <w:color w:val="212121"/>
                <w:sz w:val="20"/>
              </w:rPr>
              <w:t>1,000</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Company name</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255</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Product name</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255</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Product Category / Type / Certification Type</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255</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Product ID value</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50</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Product ID — product name</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1,000</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Product ID — SKU</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100</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Product ID — description</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500</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Tag name</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50</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Contact info / Email</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255</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Website</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500</w:t>
            </w:r>
          </w:p>
        </w:tc>
      </w:tr>
    </w:tbl>
    <w:p>
      <w:pPr>
        <w:spacing w:after="80" w:line="276" w:lineRule="auto"/>
      </w:pPr>
      <w:r>
        <w:rPr>
          <w:b w:val="0"/>
          <w:i w:val="0"/>
          <w:color w:val="212121"/>
          <w:sz w:val="21"/>
        </w:rPr>
      </w:r>
    </w:p>
    <w:p>
      <w:pPr>
        <w:spacing w:after="160" w:line="276" w:lineRule="auto"/>
      </w:pPr>
      <w:r>
        <w:rPr>
          <w:b w:val="0"/>
          <w:i w:val="0"/>
          <w:color w:val="212121"/>
          <w:sz w:val="21"/>
        </w:rPr>
        <w:t xml:space="preserve">Values over the limit are rejected at save. Imported files additionally have a </w:t>
      </w:r>
      <w:r>
        <w:rPr>
          <w:b/>
          <w:i w:val="0"/>
          <w:color w:val="212121"/>
          <w:sz w:val="21"/>
        </w:rPr>
        <w:t>10 MB maximum file size</w:t>
      </w:r>
      <w:r>
        <w:rPr>
          <w:b w:val="0"/>
          <w:i w:val="0"/>
          <w:color w:val="212121"/>
          <w:sz w:val="21"/>
        </w:rPr>
        <w:t>.</w:t>
      </w:r>
    </w:p>
    <w:p>
      <w:pPr>
        <w:keepNext/>
        <w:spacing w:before="320" w:after="100"/>
      </w:pPr>
      <w:r>
        <w:rPr>
          <w:b/>
          <w:i w:val="0"/>
          <w:color w:val="1B5E3F"/>
          <w:sz w:val="24"/>
        </w:rPr>
        <w:t>3.  Confirmed as documented — no change needed</w:t>
      </w:r>
    </w:p>
    <w:p>
      <w:pPr>
        <w:spacing w:after="160" w:line="276" w:lineRule="auto"/>
      </w:pPr>
      <w:r>
        <w:rPr>
          <w:b/>
          <w:i/>
          <w:color w:val="212121"/>
          <w:sz w:val="21"/>
        </w:rPr>
        <w:t xml:space="preserve">Certificate Number. </w:t>
      </w:r>
      <w:r>
        <w:rPr>
          <w:b w:val="0"/>
          <w:i w:val="0"/>
          <w:color w:val="212121"/>
          <w:sz w:val="21"/>
        </w:rPr>
        <w:t xml:space="preserve">Format </w:t>
      </w:r>
      <w:r>
        <w:rPr>
          <w:rFonts w:ascii="Consolas" w:hAnsi="Consolas" w:eastAsia="Consolas"/>
          <w:b w:val="0"/>
          <w:i w:val="0"/>
          <w:color w:val="212121"/>
          <w:sz w:val="21"/>
        </w:rPr>
        <w:t>YY-####</w:t>
      </w:r>
      <w:r>
        <w:rPr>
          <w:b w:val="0"/>
          <w:i w:val="0"/>
          <w:color w:val="212121"/>
          <w:sz w:val="21"/>
        </w:rPr>
        <w:t xml:space="preserve"> (e.g. </w:t>
      </w:r>
      <w:r>
        <w:rPr>
          <w:rFonts w:ascii="Consolas" w:hAnsi="Consolas" w:eastAsia="Consolas"/>
          <w:b w:val="0"/>
          <w:i w:val="0"/>
          <w:color w:val="212121"/>
          <w:sz w:val="21"/>
        </w:rPr>
        <w:t>26-0001</w:t>
      </w:r>
      <w:r>
        <w:rPr>
          <w:b w:val="0"/>
          <w:i w:val="0"/>
          <w:color w:val="212121"/>
          <w:sz w:val="21"/>
        </w:rPr>
        <w:t xml:space="preserve">), auto-assigned. The sequence restarts at </w:t>
      </w:r>
      <w:r>
        <w:rPr>
          <w:rFonts w:ascii="Consolas" w:hAnsi="Consolas" w:eastAsia="Consolas"/>
          <w:b w:val="0"/>
          <w:i w:val="0"/>
          <w:color w:val="212121"/>
          <w:sz w:val="21"/>
        </w:rPr>
        <w:t>0001</w:t>
      </w:r>
      <w:r>
        <w:rPr>
          <w:b w:val="0"/>
          <w:i w:val="0"/>
          <w:color w:val="212121"/>
          <w:sz w:val="21"/>
        </w:rPr>
        <w:t xml:space="preserve"> each calendar year — the first certificate of 2027 will be </w:t>
      </w:r>
      <w:r>
        <w:rPr>
          <w:rFonts w:ascii="Consolas" w:hAnsi="Consolas" w:eastAsia="Consolas"/>
          <w:b w:val="0"/>
          <w:i w:val="0"/>
          <w:color w:val="212121"/>
          <w:sz w:val="21"/>
        </w:rPr>
        <w:t>27-0001</w:t>
      </w:r>
      <w:r>
        <w:rPr>
          <w:b w:val="0"/>
          <w:i w:val="0"/>
          <w:color w:val="212121"/>
          <w:sz w:val="21"/>
        </w:rPr>
        <w:t>, with nothing carried over. It widens to five digits only after all 9,999 numbers for a year are genuinely used; isolated high-numbered records from an import will not push new certificates into five digits.</w:t>
      </w:r>
    </w:p>
    <w:p>
      <w:pPr>
        <w:spacing w:after="160" w:line="276" w:lineRule="auto"/>
      </w:pPr>
      <w:r>
        <w:rPr>
          <w:b w:val="0"/>
          <w:i w:val="0"/>
          <w:color w:val="212121"/>
          <w:sz w:val="21"/>
        </w:rPr>
        <w:t xml:space="preserve">The number is allocated </w:t>
      </w:r>
      <w:r>
        <w:rPr>
          <w:b/>
          <w:i w:val="0"/>
          <w:color w:val="212121"/>
          <w:sz w:val="21"/>
        </w:rPr>
        <w:t>at the moment of save</w:t>
      </w:r>
      <w:r>
        <w:rPr>
          <w:b w:val="0"/>
          <w:i w:val="0"/>
          <w:color w:val="212121"/>
          <w:sz w:val="21"/>
        </w:rPr>
        <w:t>, not when the form is opened. If two analysts are working simultaneously, the first to save keeps the number shown to them and the second is automatically given the next available number. The same certificate number is never issued twice.</w:t>
      </w:r>
    </w:p>
    <w:p>
      <w:pPr>
        <w:spacing w:after="160" w:line="276" w:lineRule="auto"/>
      </w:pPr>
      <w:r>
        <w:rPr>
          <w:b/>
          <w:i/>
          <w:color w:val="212121"/>
          <w:sz w:val="21"/>
        </w:rPr>
        <w:t xml:space="preserve">Import — multiple entries in one cell. </w:t>
      </w:r>
      <w:r>
        <w:rPr>
          <w:b w:val="0"/>
          <w:i w:val="0"/>
          <w:color w:val="212121"/>
          <w:sz w:val="21"/>
        </w:rPr>
        <w:t xml:space="preserve">Confirmed: separate items with a </w:t>
      </w:r>
      <w:r>
        <w:rPr>
          <w:b/>
          <w:i w:val="0"/>
          <w:color w:val="212121"/>
          <w:sz w:val="21"/>
        </w:rPr>
        <w:t>comma</w:t>
      </w:r>
      <w:r>
        <w:rPr>
          <w:b w:val="0"/>
          <w:i w:val="0"/>
          <w:color w:val="212121"/>
          <w:sz w:val="21"/>
        </w:rPr>
        <w:t xml:space="preserve">, not a semicolon. For example: </w:t>
      </w:r>
      <w:r>
        <w:rPr>
          <w:rFonts w:ascii="Consolas" w:hAnsi="Consolas" w:eastAsia="Consolas"/>
          <w:b w:val="0"/>
          <w:i w:val="0"/>
          <w:color w:val="212121"/>
          <w:sz w:val="21"/>
        </w:rPr>
        <w:t>recycled, post-consumer, verified</w:t>
      </w:r>
      <w:r>
        <w:rPr>
          <w:b w:val="0"/>
          <w:i w:val="0"/>
          <w:color w:val="212121"/>
          <w:sz w:val="21"/>
        </w:rPr>
        <w:t>. Spaces around each item are trimmed automatically. CSV only, always starting from the downloadable template.</w:t>
      </w:r>
    </w:p>
    <w:p>
      <w:pPr>
        <w:keepNext/>
        <w:spacing w:before="320" w:after="100"/>
      </w:pPr>
      <w:r>
        <w:rPr>
          <w:b/>
          <w:i w:val="0"/>
          <w:color w:val="1B5E3F"/>
          <w:sz w:val="24"/>
        </w:rPr>
        <w:t>4.  Two corrections to the current draft</w:t>
      </w:r>
    </w:p>
    <w:p>
      <w:pPr>
        <w:spacing w:after="160" w:line="276" w:lineRule="auto"/>
      </w:pPr>
      <w:r>
        <w:rPr>
          <w:b/>
          <w:i/>
          <w:color w:val="212121"/>
          <w:sz w:val="21"/>
        </w:rPr>
        <w:t xml:space="preserve">Product Identifiers. </w:t>
      </w:r>
      <w:r>
        <w:rPr>
          <w:b w:val="0"/>
          <w:i w:val="0"/>
          <w:color w:val="212121"/>
          <w:sz w:val="21"/>
        </w:rPr>
        <w:t xml:space="preserve">The current wording — “auto saves updates upon revision, not on save” — is accurate on the </w:t>
      </w:r>
      <w:r>
        <w:rPr>
          <w:b/>
          <w:i w:val="0"/>
          <w:color w:val="212121"/>
          <w:sz w:val="21"/>
        </w:rPr>
        <w:t>Edit</w:t>
      </w:r>
      <w:r>
        <w:rPr>
          <w:b w:val="0"/>
          <w:i w:val="0"/>
          <w:color w:val="212121"/>
          <w:sz w:val="21"/>
        </w:rPr>
        <w:t xml:space="preserve"> page only. There, Product ID changes save immediately when you click </w:t>
      </w:r>
      <w:r>
        <w:rPr>
          <w:b w:val="0"/>
          <w:i/>
          <w:color w:val="212121"/>
          <w:sz w:val="21"/>
        </w:rPr>
        <w:t>Save Product ID</w:t>
      </w:r>
      <w:r>
        <w:rPr>
          <w:b w:val="0"/>
          <w:i w:val="0"/>
          <w:color w:val="212121"/>
          <w:sz w:val="21"/>
        </w:rPr>
        <w:t xml:space="preserve">, independent of the certificate's Save button. On the </w:t>
      </w:r>
      <w:r>
        <w:rPr>
          <w:b/>
          <w:i w:val="0"/>
          <w:color w:val="212121"/>
          <w:sz w:val="21"/>
        </w:rPr>
        <w:t>Create</w:t>
      </w:r>
      <w:r>
        <w:rPr>
          <w:b w:val="0"/>
          <w:i w:val="0"/>
          <w:color w:val="212121"/>
          <w:sz w:val="21"/>
        </w:rPr>
        <w:t xml:space="preserve"> page, Product IDs are saved together with the new certificate. As written, the instruction reads as incorrect on one of the two pages, so we'd suggest splitting it:</w:t>
      </w:r>
    </w:p>
    <w:tbl>
      <w:tblPr>
        <w:tblW w:type="auto" w:w="0"/>
        <w:jc w:val="left"/>
        <w:tblLook w:firstColumn="1" w:firstRow="1" w:lastColumn="0" w:lastRow="0" w:noHBand="0" w:noVBand="1" w:val="04A0"/>
      </w:tblPr>
      <w:tblGrid>
        <w:gridCol w:w="9504"/>
      </w:tblGrid>
      <w:tr>
        <w:tc>
          <w:tcPr>
            <w:tcW w:type="dxa" w:w="9360"/>
            <w:shd w:val="clear" w:color="auto" w:fill="F2F7F4"/>
            <w:tcBorders>
              <w:top w:val="nil"/>
              <w:bottom w:val="nil"/>
              <w:right w:val="nil"/>
              <w:left w:val="single" w:sz="18" w:color="2E7D54"/>
            </w:tcBorders>
            <w:tcMar>
              <w:top w:w="130" w:type="dxa"/>
              <w:bottom w:w="130" w:type="dxa"/>
              <w:left w:w="170" w:type="dxa"/>
              <w:right w:w="140" w:type="dxa"/>
            </w:tcMar>
          </w:tcPr>
          <w:p>
            <w:pPr>
              <w:spacing w:after="0" w:line="276" w:lineRule="auto"/>
            </w:pPr>
            <w:r/>
            <w:r>
              <w:rPr>
                <w:b w:val="0"/>
                <w:i/>
                <w:color w:val="212121"/>
                <w:sz w:val="20"/>
              </w:rPr>
              <w:t>On the Edit page, Product ID changes save immediately when you click Save Product ID — they do not wait for the certificate Save button. On the Create page, Product IDs are saved with the certificate.</w:t>
            </w:r>
          </w:p>
        </w:tc>
      </w:tr>
    </w:tbl>
    <w:p>
      <w:pPr>
        <w:spacing w:after="40"/>
      </w:pPr>
    </w:p>
    <w:p>
      <w:pPr>
        <w:spacing w:after="160" w:line="276" w:lineRule="auto"/>
      </w:pPr>
      <w:r>
        <w:rPr>
          <w:b/>
          <w:i/>
          <w:color w:val="212121"/>
          <w:sz w:val="21"/>
        </w:rPr>
        <w:t xml:space="preserve">Migrated certificate numbers. </w:t>
      </w:r>
      <w:r>
        <w:rPr>
          <w:b w:val="0"/>
          <w:i w:val="0"/>
          <w:color w:val="212121"/>
          <w:sz w:val="21"/>
        </w:rPr>
        <w:t>The section states a certificate number is never assigned twice. That holds for every certificate created in the system. It's worth adding a footnote that a limited set of records migrated from the prior system do share a number, because those numbers were issued to more than one certificate before this system existed and cannot be changed after issue. Those records are individually flagged, and new certificates can never take an existing number.</w:t>
      </w:r>
    </w:p>
    <w:p>
      <w:pPr>
        <w:spacing w:before="240" w:after="200"/>
        <w:pBdr>
          <w:bottom w:val="single" w:sz="6" w:space="1" w:color="D5E0DA"/>
        </w:pBdr>
      </w:pPr>
    </w:p>
    <w:p>
      <w:pPr>
        <w:spacing w:after="160" w:line="276" w:lineRule="auto"/>
      </w:pPr>
      <w:r>
        <w:rPr>
          <w:b w:val="0"/>
          <w:i w:val="0"/>
          <w:color w:val="212121"/>
          <w:sz w:val="21"/>
        </w:rPr>
        <w:t>I've attached the fully updated section with these answers incorporated. Let me know if you'd like the timeout adjusted or the Product Identifiers wording revised differently.</w:t>
      </w:r>
    </w:p>
    <w:p>
      <w:pPr>
        <w:spacing w:after="40" w:line="276" w:lineRule="auto"/>
      </w:pPr>
      <w:r>
        <w:rPr>
          <w:b w:val="0"/>
          <w:i w:val="0"/>
          <w:color w:val="212121"/>
          <w:sz w:val="21"/>
        </w:rPr>
        <w:t>Best regards,</w:t>
      </w:r>
    </w:p>
    <w:p>
      <w:pPr>
        <w:spacing w:after="0"/>
      </w:pPr>
      <w:r>
        <w:rPr>
          <w:b/>
          <w:i w:val="0"/>
          <w:color w:val="212121"/>
          <w:sz w:val="21"/>
        </w:rPr>
        <w:t>Shawn West</w:t>
      </w:r>
    </w:p>
    <w:p>
      <w:pPr>
        <w:spacing w:after="0"/>
      </w:pPr>
      <w:r>
        <w:rPr>
          <w:b w:val="0"/>
          <w:i w:val="0"/>
          <w:color w:val="5F6B66"/>
          <w:sz w:val="21"/>
        </w:rPr>
        <w:t>Anuki Consulting</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left"/>
      </w:tabs>
      <w:jc w:val="left"/>
    </w:pPr>
    <w:r/>
    <w:r>
      <w:rPr>
        <w:color w:val="5F6B66"/>
        <w:sz w:val="16"/>
      </w:rPr>
      <w:t>Email draft  ·  Key System Backend Functions  ·  14 August 2026</w:t>
      <w:tab/>
    </w:r>
    <w:r>
      <w:rPr>
        <w:color w:val="5F6B66"/>
        <w:sz w:val="16"/>
      </w:rPr>
      <w:t xml:space="preserve">Page </w:t>
    </w:r>
    <w:r>
      <w:rPr>
        <w:color w:val="5F6B66"/>
        <w:sz w:val="16"/>
      </w:rPr>
      <w:fldChar w:fldCharType="begin"/>
      <w:instrText xml:space="preserve"> PAGE </w:instrText>
      <w:fldChar w:fldCharType="end"/>
    </w:r>
    <w:r>
      <w:rPr>
        <w:color w:val="5F6B66"/>
        <w:sz w:val="16"/>
      </w:rPr>
      <w:t xml:space="preserve"> of </w:t>
    </w:r>
    <w:r>
      <w:rPr>
        <w:color w:val="5F6B66"/>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System Backend Functions — open items answered</dc:title>
  <dc:subject>GCC Database Solution — client email draft</dc:subject>
  <dc:creator>Anuki Consulting</dc:creator>
  <cp:keywords/>
  <dc:description>Email draft — 14 August 2026</dc:description>
  <cp:lastModifiedBy/>
  <cp:revision>1</cp:revision>
  <dcterms:created xsi:type="dcterms:W3CDTF">2013-12-23T23:15:00Z</dcterms:created>
  <dcterms:modified xsi:type="dcterms:W3CDTF">2013-12-23T23:15:00Z</dcterms:modified>
  <cp:category/>
</cp:coreProperties>
</file>