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F6B66"/>
          <w:sz w:val="20"/>
        </w:rPr>
        <w:t>GCC Database Solution</w:t>
      </w:r>
    </w:p>
    <w:p>
      <w:pPr>
        <w:spacing w:after="80"/>
      </w:pPr>
      <w:r>
        <w:rPr>
          <w:b/>
          <w:i w:val="0"/>
          <w:color w:val="1B5E3F"/>
          <w:sz w:val="48"/>
        </w:rPr>
        <w:t>Key System Backend Functions</w:t>
      </w:r>
    </w:p>
    <w:p>
      <w:pPr>
        <w:spacing w:after="40"/>
      </w:pPr>
      <w:r>
        <w:rPr>
          <w:b w:val="0"/>
          <w:i/>
          <w:color w:val="5F6B66"/>
          <w:sz w:val="22"/>
        </w:rPr>
        <w:t>Reference for analyst training and user documentation</w:t>
      </w:r>
    </w:p>
    <w:p>
      <w:pPr>
        <w:spacing w:after="0"/>
      </w:pPr>
      <w:r>
        <w:rPr>
          <w:b/>
          <w:i w:val="0"/>
          <w:color w:val="5F6B66"/>
          <w:sz w:val="18"/>
        </w:rPr>
        <w:t>Version 1.0</w:t>
      </w:r>
      <w:r>
        <w:rPr>
          <w:b w:val="0"/>
          <w:i w:val="0"/>
          <w:color w:val="5F6B66"/>
          <w:sz w:val="18"/>
        </w:rPr>
        <w:t xml:space="preserve">   ·   Updated 14 August 2026   ·   Verified against the application; all previously open items answered</w:t>
      </w:r>
    </w:p>
    <w:p>
      <w:pPr>
        <w:spacing w:before="200" w:after="80"/>
        <w:pBdr>
          <w:bottom w:val="single" w:sz="12" w:space="1" w:color="1B5E3F"/>
        </w:pBdr>
      </w:pPr>
    </w:p>
    <w:p>
      <w:pPr>
        <w:keepNext/>
        <w:spacing w:before="400" w:after="120"/>
      </w:pPr>
      <w:r>
        <w:rPr>
          <w:b/>
          <w:i w:val="0"/>
          <w:color w:val="1B5E3F"/>
          <w:sz w:val="30"/>
        </w:rPr>
        <w:t>Certificate Number</w:t>
      </w:r>
    </w:p>
    <w:p>
      <w:pPr>
        <w:spacing w:after="160" w:line="276" w:lineRule="auto"/>
      </w:pPr>
      <w:r>
        <w:rPr>
          <w:b/>
          <w:i w:val="0"/>
          <w:color w:val="212121"/>
          <w:sz w:val="21"/>
        </w:rPr>
        <w:t xml:space="preserve">Format:  </w:t>
      </w:r>
      <w:r>
        <w:rPr>
          <w:rFonts w:ascii="Consolas" w:hAnsi="Consolas" w:eastAsia="Consolas"/>
          <w:b/>
          <w:i w:val="0"/>
          <w:color w:val="212121"/>
          <w:sz w:val="21"/>
        </w:rPr>
        <w:t>YY-####</w:t>
      </w:r>
      <w:r>
        <w:rPr>
          <w:b w:val="0"/>
          <w:i w:val="0"/>
          <w:color w:val="212121"/>
          <w:sz w:val="21"/>
        </w:rPr>
        <w:t xml:space="preserve"> — two-digit year, hyphen, four-digit sequence. Example: </w:t>
      </w:r>
      <w:r>
        <w:rPr>
          <w:rFonts w:ascii="Consolas" w:hAnsi="Consolas" w:eastAsia="Consolas"/>
          <w:b w:val="0"/>
          <w:i w:val="0"/>
          <w:color w:val="212121"/>
          <w:sz w:val="21"/>
        </w:rPr>
        <w:t>26-0001</w:t>
      </w:r>
      <w:r>
        <w:rPr>
          <w:b w:val="0"/>
          <w:i w:val="0"/>
          <w:color w:val="212121"/>
          <w:sz w:val="21"/>
        </w:rPr>
        <w:t>.</w:t>
      </w:r>
    </w:p>
    <w:p>
      <w:pPr>
        <w:pStyle w:val="ListBullet"/>
        <w:spacing w:after="80" w:line="276" w:lineRule="auto"/>
      </w:pPr>
      <w:r>
        <w:rPr>
          <w:b/>
          <w:i w:val="0"/>
          <w:color w:val="212121"/>
          <w:sz w:val="21"/>
        </w:rPr>
        <w:t xml:space="preserve">Auto-assigned. </w:t>
      </w:r>
      <w:r>
        <w:rPr>
          <w:b w:val="0"/>
          <w:i w:val="0"/>
          <w:color w:val="212121"/>
          <w:sz w:val="21"/>
        </w:rPr>
        <w:t>The system allocates the next available number in sequence; analysts do not type it.</w:t>
      </w:r>
    </w:p>
    <w:p>
      <w:pPr>
        <w:pStyle w:val="ListBullet"/>
        <w:spacing w:after="80" w:line="276" w:lineRule="auto"/>
      </w:pPr>
      <w:r>
        <w:rPr>
          <w:b/>
          <w:i w:val="0"/>
          <w:color w:val="212121"/>
          <w:sz w:val="21"/>
        </w:rPr>
        <w:t xml:space="preserve">Year rollover. </w:t>
      </w:r>
      <w:r>
        <w:rPr>
          <w:b w:val="0"/>
          <w:i w:val="0"/>
          <w:color w:val="212121"/>
          <w:sz w:val="21"/>
        </w:rPr>
        <w:t xml:space="preserve">The sequence restarts at </w:t>
      </w:r>
      <w:r>
        <w:rPr>
          <w:rFonts w:ascii="Consolas" w:hAnsi="Consolas" w:eastAsia="Consolas"/>
          <w:b w:val="0"/>
          <w:i w:val="0"/>
          <w:color w:val="212121"/>
          <w:sz w:val="21"/>
        </w:rPr>
        <w:t>0001</w:t>
      </w:r>
      <w:r>
        <w:rPr>
          <w:b w:val="0"/>
          <w:i w:val="0"/>
          <w:color w:val="212121"/>
          <w:sz w:val="21"/>
        </w:rPr>
        <w:t xml:space="preserve"> each calendar year and the prefix advances. The first certificate created in 2027 is </w:t>
      </w:r>
      <w:r>
        <w:rPr>
          <w:rFonts w:ascii="Consolas" w:hAnsi="Consolas" w:eastAsia="Consolas"/>
          <w:b w:val="0"/>
          <w:i w:val="0"/>
          <w:color w:val="212121"/>
          <w:sz w:val="21"/>
        </w:rPr>
        <w:t>27-0001</w:t>
      </w:r>
      <w:r>
        <w:rPr>
          <w:b w:val="0"/>
          <w:i w:val="0"/>
          <w:color w:val="212121"/>
          <w:sz w:val="21"/>
        </w:rPr>
        <w:t>. Nothing carries over from the prior year.</w:t>
      </w:r>
    </w:p>
    <w:p>
      <w:pPr>
        <w:pStyle w:val="ListBullet"/>
        <w:spacing w:after="80" w:line="276" w:lineRule="auto"/>
      </w:pPr>
      <w:r>
        <w:rPr>
          <w:b/>
          <w:i w:val="0"/>
          <w:color w:val="212121"/>
          <w:sz w:val="21"/>
        </w:rPr>
        <w:t xml:space="preserve">Beyond 9,999. </w:t>
      </w:r>
      <w:r>
        <w:rPr>
          <w:b w:val="0"/>
          <w:i w:val="0"/>
          <w:color w:val="212121"/>
          <w:sz w:val="21"/>
        </w:rPr>
        <w:t xml:space="preserve">The number widens to five digits (e.g. </w:t>
      </w:r>
      <w:r>
        <w:rPr>
          <w:rFonts w:ascii="Consolas" w:hAnsi="Consolas" w:eastAsia="Consolas"/>
          <w:b w:val="0"/>
          <w:i w:val="0"/>
          <w:color w:val="212121"/>
          <w:sz w:val="21"/>
        </w:rPr>
        <w:t>26-10000</w:t>
      </w:r>
      <w:r>
        <w:rPr>
          <w:b/>
          <w:i w:val="0"/>
          <w:color w:val="212121"/>
          <w:sz w:val="21"/>
        </w:rPr>
        <w:t xml:space="preserve">) only after all 9,999 numbers for that year have genuinely been used. </w:t>
      </w:r>
      <w:r>
        <w:rPr>
          <w:b w:val="0"/>
          <w:i w:val="0"/>
          <w:color w:val="212121"/>
          <w:sz w:val="21"/>
        </w:rPr>
        <w:t>Isolated high-numbered records — for example from an import or a legacy load — do not push new certificates into five digits.</w:t>
      </w:r>
    </w:p>
    <w:p>
      <w:pPr>
        <w:pStyle w:val="ListBullet"/>
        <w:spacing w:after="80" w:line="276" w:lineRule="auto"/>
      </w:pPr>
      <w:r>
        <w:rPr>
          <w:b/>
          <w:i w:val="0"/>
          <w:color w:val="212121"/>
          <w:sz w:val="21"/>
        </w:rPr>
        <w:t xml:space="preserve">Assigned at save, not at form open. </w:t>
      </w:r>
      <w:r>
        <w:rPr>
          <w:b w:val="0"/>
          <w:i w:val="0"/>
          <w:color w:val="212121"/>
          <w:sz w:val="21"/>
        </w:rPr>
        <w:t xml:space="preserve">The number is allocated at the moment the record is written. If two analysts open the Create form at the same time, the first to save keeps the number they were shown; the second is silently assigned the next available number. </w:t>
      </w:r>
      <w:r>
        <w:rPr>
          <w:b/>
          <w:i w:val="0"/>
          <w:color w:val="212121"/>
          <w:sz w:val="21"/>
        </w:rPr>
        <w:t>The same certificate number is never issued twice.</w:t>
      </w:r>
    </w:p>
    <w:p>
      <w:pPr>
        <w:pStyle w:val="ListBullet"/>
        <w:spacing w:after="80" w:line="276" w:lineRule="auto"/>
      </w:pPr>
      <w:r>
        <w:rPr>
          <w:b/>
          <w:i w:val="0"/>
          <w:color w:val="212121"/>
          <w:sz w:val="21"/>
        </w:rPr>
        <w:t xml:space="preserve">Field capacity: </w:t>
      </w:r>
      <w:r>
        <w:rPr>
          <w:b w:val="0"/>
          <w:i w:val="0"/>
          <w:color w:val="212121"/>
          <w:sz w:val="21"/>
        </w:rPr>
        <w:t>50 characters.</w:t>
      </w:r>
    </w:p>
    <w:p>
      <w:pPr>
        <w:spacing w:after="40" w:line="276" w:lineRule="auto"/>
      </w:pPr>
      <w:r>
        <w:rPr>
          <w:b w:val="0"/>
          <w:i w:val="0"/>
          <w:color w:val="212121"/>
          <w:sz w:val="21"/>
        </w:rPr>
      </w:r>
    </w:p>
    <w:tbl>
      <w:tblPr>
        <w:tblW w:type="auto" w:w="0"/>
        <w:jc w:val="left"/>
        <w:tblLook w:firstColumn="1" w:firstRow="1" w:lastColumn="0" w:lastRow="0" w:noHBand="0" w:noVBand="1" w:val="04A0"/>
      </w:tblPr>
      <w:tblGrid>
        <w:gridCol w:w="9504"/>
      </w:tblGrid>
      <w:tr>
        <w:tc>
          <w:tcPr>
            <w:tcW w:type="dxa" w:w="9360"/>
            <w:shd w:val="clear" w:color="auto" w:fill="FFF8E1"/>
            <w:tcBorders>
              <w:top w:val="nil"/>
              <w:bottom w:val="nil"/>
              <w:right w:val="nil"/>
              <w:left w:val="single" w:sz="18" w:color="E0A800"/>
            </w:tcBorders>
            <w:tcMar>
              <w:top w:w="130" w:type="dxa"/>
              <w:bottom w:w="130" w:type="dxa"/>
              <w:left w:w="170" w:type="dxa"/>
              <w:right w:w="140" w:type="dxa"/>
            </w:tcMar>
          </w:tcPr>
          <w:p>
            <w:pPr>
              <w:spacing w:after="0" w:line="276" w:lineRule="auto"/>
            </w:pPr>
            <w:r/>
            <w:r>
              <w:rPr>
                <w:b/>
                <w:i w:val="0"/>
                <w:color w:val="212121"/>
                <w:sz w:val="20"/>
              </w:rPr>
              <w:t xml:space="preserve">Migrated records exception.  </w:t>
            </w:r>
            <w:r>
              <w:rPr>
                <w:b w:val="0"/>
                <w:i w:val="0"/>
                <w:color w:val="212121"/>
                <w:sz w:val="20"/>
              </w:rPr>
              <w:t>A limited set of records carried over from the prior system share a certificate number with another record, because those numbers were issued to more than one certificate before this system existed and cannot be changed after issue. These records are individually flagged. Newly created certificates can never take an existing number.</w:t>
            </w:r>
          </w:p>
        </w:tc>
      </w:tr>
    </w:tbl>
    <w:p>
      <w:pPr>
        <w:spacing w:after="40"/>
      </w:pPr>
    </w:p>
    <w:p>
      <w:pPr>
        <w:keepNext/>
        <w:spacing w:before="400" w:after="120"/>
      </w:pPr>
      <w:r>
        <w:rPr>
          <w:b/>
          <w:i w:val="0"/>
          <w:color w:val="1B5E3F"/>
          <w:sz w:val="30"/>
        </w:rPr>
        <w:t>Product Identifiers</w:t>
      </w:r>
    </w:p>
    <w:p>
      <w:pPr>
        <w:spacing w:after="160" w:line="276" w:lineRule="auto"/>
      </w:pPr>
      <w:r>
        <w:rPr>
          <w:b/>
          <w:i w:val="0"/>
          <w:color w:val="212121"/>
          <w:sz w:val="21"/>
        </w:rPr>
        <w:t>Where changes are saved differs by page — this is the point most often misunderstood.</w:t>
      </w:r>
    </w:p>
    <w:tbl>
      <w:tblPr>
        <w:tblW w:type="auto" w:w="0"/>
        <w:jc w:val="left"/>
        <w:tblLayout w:type="fixed"/>
        <w:tblLook w:firstColumn="1" w:firstRow="1" w:lastColumn="0" w:lastRow="0" w:noHBand="0" w:noVBand="1" w:val="04A0"/>
      </w:tblPr>
      <w:tblGrid>
        <w:gridCol w:w="4752"/>
        <w:gridCol w:w="4752"/>
      </w:tblGrid>
      <w:tr>
        <w:trPr>
          <w:tblHeader w:val="true"/>
        </w:trPr>
        <w:tc>
          <w:tcPr>
            <w:tcW w:type="dxa" w:w="2448"/>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Page</w:t>
            </w:r>
          </w:p>
        </w:tc>
        <w:tc>
          <w:tcPr>
            <w:tcW w:type="dxa" w:w="6912"/>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Behaviour</w:t>
            </w:r>
          </w:p>
        </w:tc>
      </w:tr>
      <w:tr>
        <w:tc>
          <w:tcPr>
            <w:tcW w:type="dxa" w:w="2448"/>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i w:val="0"/>
                <w:color w:val="212121"/>
                <w:sz w:val="20"/>
              </w:rPr>
              <w:t>Certificate → Edit</w:t>
            </w:r>
          </w:p>
        </w:tc>
        <w:tc>
          <w:tcPr>
            <w:tcW w:type="dxa" w:w="6912"/>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 xml:space="preserve">Product ID changes save </w:t>
            </w:r>
            <w:r>
              <w:rPr>
                <w:b/>
                <w:i w:val="0"/>
                <w:color w:val="212121"/>
                <w:sz w:val="20"/>
              </w:rPr>
              <w:t>immediately</w:t>
            </w:r>
            <w:r>
              <w:rPr>
                <w:b w:val="0"/>
                <w:i w:val="0"/>
                <w:color w:val="212121"/>
                <w:sz w:val="20"/>
              </w:rPr>
              <w:t xml:space="preserve"> when you click </w:t>
            </w:r>
            <w:r>
              <w:rPr>
                <w:b/>
                <w:i w:val="0"/>
                <w:color w:val="212121"/>
                <w:sz w:val="20"/>
              </w:rPr>
              <w:t>Save Product ID</w:t>
            </w:r>
            <w:r>
              <w:rPr>
                <w:b w:val="0"/>
                <w:i w:val="0"/>
                <w:color w:val="212121"/>
                <w:sz w:val="20"/>
              </w:rPr>
              <w:t xml:space="preserve">. They do </w:t>
            </w:r>
            <w:r>
              <w:rPr>
                <w:b/>
                <w:i w:val="0"/>
                <w:color w:val="212121"/>
                <w:sz w:val="20"/>
              </w:rPr>
              <w:t>not</w:t>
            </w:r>
            <w:r>
              <w:rPr>
                <w:b w:val="0"/>
                <w:i w:val="0"/>
                <w:color w:val="212121"/>
                <w:sz w:val="20"/>
              </w:rPr>
              <w:t xml:space="preserve"> wait for the certificate's Save button.</w:t>
            </w:r>
          </w:p>
        </w:tc>
      </w:tr>
      <w:tr>
        <w:tc>
          <w:tcPr>
            <w:tcW w:type="dxa" w:w="2448"/>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i w:val="0"/>
                <w:color w:val="212121"/>
                <w:sz w:val="20"/>
              </w:rPr>
              <w:t>Certificate → Create</w:t>
            </w:r>
          </w:p>
        </w:tc>
        <w:tc>
          <w:tcPr>
            <w:tcW w:type="dxa" w:w="6912"/>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Product IDs are saved together with the certificate when you save the new record.</w:t>
            </w:r>
          </w:p>
        </w:tc>
      </w:tr>
    </w:tbl>
    <w:p>
      <w:pPr>
        <w:spacing w:after="80" w:line="276" w:lineRule="auto"/>
      </w:pPr>
      <w:r>
        <w:rPr>
          <w:b w:val="0"/>
          <w:i w:val="0"/>
          <w:color w:val="212121"/>
          <w:sz w:val="21"/>
        </w:rPr>
      </w:r>
    </w:p>
    <w:p>
      <w:pPr>
        <w:spacing w:after="160" w:line="276" w:lineRule="auto"/>
      </w:pPr>
      <w:r>
        <w:rPr>
          <w:b/>
          <w:i w:val="0"/>
          <w:color w:val="212121"/>
          <w:sz w:val="21"/>
        </w:rPr>
        <w:t xml:space="preserve">Practical guidance for analysts: </w:t>
      </w:r>
      <w:r>
        <w:rPr>
          <w:b w:val="0"/>
          <w:i w:val="0"/>
          <w:color w:val="212121"/>
          <w:sz w:val="21"/>
        </w:rPr>
        <w:t>on the Edit page, complete all Product ID additions, edits and removals as a group before leaving the page. Navigating away does not discard them — they are already saved.</w:t>
      </w:r>
    </w:p>
    <w:p>
      <w:pPr>
        <w:keepNext/>
        <w:spacing w:before="240" w:after="80"/>
      </w:pPr>
      <w:r>
        <w:rPr>
          <w:b/>
          <w:i w:val="0"/>
          <w:color w:val="2E7D54"/>
          <w:sz w:val="23"/>
        </w:rPr>
        <w:t>Supported identifier types and expected formats</w:t>
      </w:r>
    </w:p>
    <w:tbl>
      <w:tblPr>
        <w:tblW w:type="auto" w:w="0"/>
        <w:jc w:val="left"/>
        <w:tblLayout w:type="fixed"/>
        <w:tblLook w:firstColumn="1" w:firstRow="1" w:lastColumn="0" w:lastRow="0" w:noHBand="0" w:noVBand="1" w:val="04A0"/>
      </w:tblPr>
      <w:tblGrid>
        <w:gridCol w:w="3168"/>
        <w:gridCol w:w="3168"/>
        <w:gridCol w:w="3168"/>
      </w:tblGrid>
      <w:tr>
        <w:trPr>
          <w:tblHeader w:val="true"/>
        </w:trPr>
        <w:tc>
          <w:tcPr>
            <w:tcW w:type="dxa" w:w="1224"/>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Type</w:t>
            </w:r>
          </w:p>
        </w:tc>
        <w:tc>
          <w:tcPr>
            <w:tcW w:type="dxa" w:w="4392"/>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Description</w:t>
            </w:r>
          </w:p>
        </w:tc>
        <w:tc>
          <w:tcPr>
            <w:tcW w:type="dxa" w:w="3744"/>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Expected format</w:t>
            </w:r>
          </w:p>
        </w:tc>
      </w:tr>
      <w:tr>
        <w:tc>
          <w:tcPr>
            <w:tcW w:type="dxa" w:w="122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ASIN</w:t>
            </w:r>
          </w:p>
        </w:tc>
        <w:tc>
          <w:tcPr>
            <w:tcW w:type="dxa" w:w="4392"/>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Amazon Standard Identification Number</w:t>
            </w:r>
          </w:p>
        </w:tc>
        <w:tc>
          <w:tcPr>
            <w:tcW w:type="dxa" w:w="374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10 characters, letters and digits</w:t>
            </w:r>
          </w:p>
        </w:tc>
      </w:tr>
      <w:tr>
        <w:tc>
          <w:tcPr>
            <w:tcW w:type="dxa" w:w="122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UPC</w:t>
            </w:r>
          </w:p>
        </w:tc>
        <w:tc>
          <w:tcPr>
            <w:tcW w:type="dxa" w:w="4392"/>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Universal Product Code</w:t>
            </w:r>
          </w:p>
        </w:tc>
        <w:tc>
          <w:tcPr>
            <w:tcW w:type="dxa" w:w="374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12 digits</w:t>
            </w:r>
          </w:p>
        </w:tc>
      </w:tr>
      <w:tr>
        <w:tc>
          <w:tcPr>
            <w:tcW w:type="dxa" w:w="122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GTIN</w:t>
            </w:r>
          </w:p>
        </w:tc>
        <w:tc>
          <w:tcPr>
            <w:tcW w:type="dxa" w:w="4392"/>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Global Trade Item Number</w:t>
            </w:r>
          </w:p>
        </w:tc>
        <w:tc>
          <w:tcPr>
            <w:tcW w:type="dxa" w:w="374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8, 12, 13 or 14 digits</w:t>
            </w:r>
          </w:p>
        </w:tc>
      </w:tr>
      <w:tr>
        <w:tc>
          <w:tcPr>
            <w:tcW w:type="dxa" w:w="122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EAN</w:t>
            </w:r>
          </w:p>
        </w:tc>
        <w:tc>
          <w:tcPr>
            <w:tcW w:type="dxa" w:w="4392"/>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European Article Number</w:t>
            </w:r>
          </w:p>
        </w:tc>
        <w:tc>
          <w:tcPr>
            <w:tcW w:type="dxa" w:w="374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13 digits</w:t>
            </w:r>
          </w:p>
        </w:tc>
      </w:tr>
      <w:tr>
        <w:tc>
          <w:tcPr>
            <w:tcW w:type="dxa" w:w="122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ISBN</w:t>
            </w:r>
          </w:p>
        </w:tc>
        <w:tc>
          <w:tcPr>
            <w:tcW w:type="dxa" w:w="4392"/>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International Standard Book Number</w:t>
            </w:r>
          </w:p>
        </w:tc>
        <w:tc>
          <w:tcPr>
            <w:tcW w:type="dxa" w:w="374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ISBN-10 or ISBN-13</w:t>
            </w:r>
          </w:p>
        </w:tc>
      </w:tr>
      <w:tr>
        <w:tc>
          <w:tcPr>
            <w:tcW w:type="dxa" w:w="122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SKU</w:t>
            </w:r>
          </w:p>
        </w:tc>
        <w:tc>
          <w:tcPr>
            <w:tcW w:type="dxa" w:w="4392"/>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Stock Keeping Unit</w:t>
            </w:r>
          </w:p>
        </w:tc>
        <w:tc>
          <w:tcPr>
            <w:tcW w:type="dxa" w:w="374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3–50 characters; letters, digits, hyphen, underscore</w:t>
            </w:r>
          </w:p>
        </w:tc>
      </w:tr>
      <w:tr>
        <w:tc>
          <w:tcPr>
            <w:tcW w:type="dxa" w:w="122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MPN</w:t>
            </w:r>
          </w:p>
        </w:tc>
        <w:tc>
          <w:tcPr>
            <w:tcW w:type="dxa" w:w="4392"/>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Manufacturer Part Number</w:t>
            </w:r>
          </w:p>
        </w:tc>
        <w:tc>
          <w:tcPr>
            <w:tcW w:type="dxa" w:w="374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1–50 characters; letters, digits, hyphen, underscore, period</w:t>
            </w:r>
          </w:p>
        </w:tc>
      </w:tr>
    </w:tbl>
    <w:p>
      <w:pPr>
        <w:spacing w:after="80" w:line="276" w:lineRule="auto"/>
      </w:pPr>
      <w:r>
        <w:rPr>
          <w:b w:val="0"/>
          <w:i w:val="0"/>
          <w:color w:val="212121"/>
          <w:sz w:val="21"/>
        </w:rPr>
      </w:r>
    </w:p>
    <w:p>
      <w:pPr>
        <w:spacing w:after="160" w:line="276" w:lineRule="auto"/>
      </w:pPr>
      <w:r>
        <w:rPr>
          <w:b w:val="0"/>
          <w:i w:val="0"/>
          <w:color w:val="212121"/>
          <w:sz w:val="21"/>
        </w:rPr>
        <w:t>Values that do not match the expected format are rejected at save with a message naming the type.</w:t>
      </w:r>
    </w:p>
    <w:p>
      <w:pPr>
        <w:spacing w:after="160" w:line="276" w:lineRule="auto"/>
      </w:pPr>
      <w:r>
        <w:rPr>
          <w:b/>
          <w:i w:val="0"/>
          <w:color w:val="212121"/>
          <w:sz w:val="21"/>
        </w:rPr>
        <w:t xml:space="preserve">Status. </w:t>
      </w:r>
      <w:r>
        <w:rPr>
          <w:b w:val="0"/>
          <w:i w:val="0"/>
          <w:color w:val="212121"/>
          <w:sz w:val="21"/>
        </w:rPr>
        <w:t>A Product ID's status is derived automatically from its parent certificate. It is not set by the user.</w:t>
      </w:r>
    </w:p>
    <w:p>
      <w:pPr>
        <w:keepNext/>
        <w:spacing w:before="400" w:after="120"/>
      </w:pPr>
      <w:r>
        <w:rPr>
          <w:b/>
          <w:i w:val="0"/>
          <w:color w:val="1B5E3F"/>
          <w:sz w:val="30"/>
        </w:rPr>
        <w:t>Time Out</w:t>
      </w:r>
    </w:p>
    <w:p>
      <w:pPr>
        <w:spacing w:after="160" w:line="276" w:lineRule="auto"/>
      </w:pPr>
      <w:r>
        <w:rPr>
          <w:b/>
          <w:i w:val="0"/>
          <w:color w:val="1B5E3F"/>
          <w:sz w:val="24"/>
        </w:rPr>
        <w:t>30 minutes of inactivity.</w:t>
      </w:r>
    </w:p>
    <w:p>
      <w:pPr>
        <w:pStyle w:val="ListBullet"/>
        <w:spacing w:after="80" w:line="276" w:lineRule="auto"/>
      </w:pPr>
      <w:r>
        <w:rPr>
          <w:b w:val="0"/>
          <w:i w:val="0"/>
          <w:color w:val="212121"/>
          <w:sz w:val="21"/>
        </w:rPr>
        <w:t xml:space="preserve">The timeout is a </w:t>
      </w:r>
      <w:r>
        <w:rPr>
          <w:b/>
          <w:i w:val="0"/>
          <w:color w:val="212121"/>
          <w:sz w:val="21"/>
        </w:rPr>
        <w:t>sliding</w:t>
      </w:r>
      <w:r>
        <w:rPr>
          <w:b w:val="0"/>
          <w:i w:val="0"/>
          <w:color w:val="212121"/>
          <w:sz w:val="21"/>
        </w:rPr>
        <w:t xml:space="preserve"> window — the 30-minute clock resets on every page load or action. It is 30 minutes of </w:t>
      </w:r>
      <w:r>
        <w:rPr>
          <w:b w:val="0"/>
          <w:i/>
          <w:color w:val="212121"/>
          <w:sz w:val="21"/>
        </w:rPr>
        <w:t>inactivity</w:t>
      </w:r>
      <w:r>
        <w:rPr>
          <w:b w:val="0"/>
          <w:i w:val="0"/>
          <w:color w:val="212121"/>
          <w:sz w:val="21"/>
        </w:rPr>
        <w:t>, not 30 minutes per login.</w:t>
      </w:r>
    </w:p>
    <w:p>
      <w:pPr>
        <w:pStyle w:val="ListBullet"/>
        <w:spacing w:after="80" w:line="276" w:lineRule="auto"/>
      </w:pPr>
      <w:r>
        <w:rPr>
          <w:b w:val="0"/>
          <w:i w:val="0"/>
          <w:color w:val="212121"/>
          <w:sz w:val="21"/>
        </w:rPr>
        <w:t>Applies to both the login session and the sign-in cookie.</w:t>
      </w:r>
    </w:p>
    <w:p>
      <w:pPr>
        <w:spacing w:after="40" w:line="276" w:lineRule="auto"/>
      </w:pPr>
      <w:r>
        <w:rPr>
          <w:b w:val="0"/>
          <w:i w:val="0"/>
          <w:color w:val="212121"/>
          <w:sz w:val="21"/>
        </w:rPr>
      </w:r>
    </w:p>
    <w:tbl>
      <w:tblPr>
        <w:tblW w:type="auto" w:w="0"/>
        <w:jc w:val="left"/>
        <w:tblLook w:firstColumn="1" w:firstRow="1" w:lastColumn="0" w:lastRow="0" w:noHBand="0" w:noVBand="1" w:val="04A0"/>
      </w:tblPr>
      <w:tblGrid>
        <w:gridCol w:w="9504"/>
      </w:tblGrid>
      <w:tr>
        <w:tc>
          <w:tcPr>
            <w:tcW w:type="dxa" w:w="9360"/>
            <w:shd w:val="clear" w:color="auto" w:fill="FFF8E1"/>
            <w:tcBorders>
              <w:top w:val="nil"/>
              <w:bottom w:val="nil"/>
              <w:right w:val="nil"/>
              <w:left w:val="single" w:sz="18" w:color="E0A800"/>
            </w:tcBorders>
            <w:tcMar>
              <w:top w:w="130" w:type="dxa"/>
              <w:bottom w:w="130" w:type="dxa"/>
              <w:left w:w="170" w:type="dxa"/>
              <w:right w:w="140" w:type="dxa"/>
            </w:tcMar>
          </w:tcPr>
          <w:p>
            <w:pPr>
              <w:spacing w:after="0" w:line="276" w:lineRule="auto"/>
            </w:pPr>
            <w:r/>
            <w:r>
              <w:rPr>
                <w:b/>
                <w:i w:val="0"/>
                <w:color w:val="212121"/>
                <w:sz w:val="20"/>
              </w:rPr>
              <w:t xml:space="preserve">What analysts need to know.  </w:t>
            </w:r>
            <w:r>
              <w:rPr>
                <w:b w:val="0"/>
                <w:i w:val="0"/>
                <w:color w:val="212121"/>
                <w:sz w:val="20"/>
              </w:rPr>
              <w:t>There is no on-screen warning before the session ends, and in-progress form data is not preserved. A certificate Create or Edit form left open for more than 30 minutes without activity will return the user to the login page on submit, and unsaved entries on that form are lost.</w:t>
            </w:r>
          </w:p>
        </w:tc>
      </w:tr>
    </w:tbl>
    <w:p>
      <w:pPr>
        <w:spacing w:after="40"/>
      </w:pPr>
    </w:p>
    <w:p>
      <w:pPr>
        <w:spacing w:after="160" w:line="276" w:lineRule="auto"/>
      </w:pPr>
      <w:r>
        <w:rPr>
          <w:b/>
          <w:i w:val="0"/>
          <w:color w:val="212121"/>
          <w:sz w:val="21"/>
        </w:rPr>
        <w:t xml:space="preserve">Recommended practice: </w:t>
      </w:r>
      <w:r>
        <w:rPr>
          <w:b w:val="0"/>
          <w:i w:val="0"/>
          <w:color w:val="212121"/>
          <w:sz w:val="21"/>
        </w:rPr>
        <w:t>save long certificate entries incrementally rather than composing the entire record in one sitting.</w:t>
      </w:r>
    </w:p>
    <w:p>
      <w:pPr>
        <w:keepNext/>
        <w:spacing w:before="400" w:after="120"/>
      </w:pPr>
      <w:r>
        <w:rPr>
          <w:b/>
          <w:i w:val="0"/>
          <w:color w:val="1B5E3F"/>
          <w:sz w:val="30"/>
        </w:rPr>
        <w:t>Character Limits</w:t>
      </w:r>
    </w:p>
    <w:p>
      <w:pPr>
        <w:spacing w:after="160" w:line="276" w:lineRule="auto"/>
      </w:pPr>
      <w:r>
        <w:rPr>
          <w:b w:val="0"/>
          <w:i w:val="0"/>
          <w:color w:val="212121"/>
          <w:sz w:val="21"/>
        </w:rPr>
        <w:t>Values exceeding these limits are rejected at save.</w:t>
      </w:r>
    </w:p>
    <w:tbl>
      <w:tblPr>
        <w:tblW w:type="auto" w:w="0"/>
        <w:jc w:val="left"/>
        <w:tblLayout w:type="fixed"/>
        <w:tblLook w:firstColumn="1" w:firstRow="1" w:lastColumn="0" w:lastRow="0" w:noHBand="0" w:noVBand="1" w:val="04A0"/>
      </w:tblPr>
      <w:tblGrid>
        <w:gridCol w:w="4752"/>
        <w:gridCol w:w="4752"/>
      </w:tblGrid>
      <w:tr>
        <w:trPr>
          <w:tblHeader w:val="true"/>
        </w:trPr>
        <w:tc>
          <w:tcPr>
            <w:tcW w:type="dxa" w:w="7056"/>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Field</w:t>
            </w:r>
          </w:p>
        </w:tc>
        <w:tc>
          <w:tcPr>
            <w:tcW w:type="dxa" w:w="2304"/>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Limit</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Certificate Number</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Status</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 xml:space="preserve">Location </w:t>
            </w:r>
            <w:r>
              <w:rPr>
                <w:b w:val="0"/>
                <w:i/>
                <w:color w:val="212121"/>
                <w:sz w:val="20"/>
              </w:rPr>
              <w:t>(certificate and company)</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175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Country</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100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Partner</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i w:val="0"/>
                <w:color w:val="212121"/>
                <w:sz w:val="20"/>
              </w:rPr>
              <w:t>Certification Results</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i w:val="0"/>
                <w:color w:val="212121"/>
                <w:sz w:val="20"/>
              </w:rPr>
              <w:t>1,000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Company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Product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Product Category / Product Type / Certification Type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Product ID value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Product ID — product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1,000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Product ID — SKU</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100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Product ID — description</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500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Tag name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50</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Contact info</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Email address</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shd w:val="clear" w:color="auto" w:fill="F2F7F4"/>
          </w:tcPr>
          <w:p>
            <w:pPr>
              <w:spacing w:after="0" w:line="252" w:lineRule="auto"/>
            </w:pPr>
            <w:r/>
            <w:r>
              <w:rPr>
                <w:b w:val="0"/>
                <w:i w:val="0"/>
                <w:color w:val="212121"/>
                <w:sz w:val="20"/>
              </w:rPr>
              <w:t>255</w:t>
            </w:r>
          </w:p>
        </w:tc>
      </w:tr>
      <w:tr>
        <w:tc>
          <w:tcPr>
            <w:tcW w:type="dxa" w:w="7056"/>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Website</w:t>
            </w:r>
          </w:p>
        </w:tc>
        <w:tc>
          <w:tcPr>
            <w:tcW w:type="dxa" w:w="2304"/>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500</w:t>
            </w:r>
          </w:p>
        </w:tc>
      </w:tr>
    </w:tbl>
    <w:p>
      <w:pPr>
        <w:spacing w:after="80" w:line="276" w:lineRule="auto"/>
      </w:pPr>
      <w:r>
        <w:rPr>
          <w:b w:val="0"/>
          <w:i w:val="0"/>
          <w:color w:val="212121"/>
          <w:sz w:val="21"/>
        </w:rPr>
      </w:r>
    </w:p>
    <w:p>
      <w:pPr>
        <w:spacing w:after="160" w:line="276" w:lineRule="auto"/>
      </w:pPr>
      <w:r>
        <w:rPr>
          <w:b/>
          <w:i w:val="0"/>
          <w:color w:val="212121"/>
          <w:sz w:val="21"/>
        </w:rPr>
        <w:t xml:space="preserve">Note on error messaging. </w:t>
      </w:r>
      <w:r>
        <w:rPr>
          <w:b w:val="0"/>
          <w:i w:val="0"/>
          <w:color w:val="212121"/>
          <w:sz w:val="21"/>
        </w:rPr>
        <w:t>Certification Results returns a specific message on import (“exceeds maximum length of 1000 characters”). Other fields currently return a generic validation error rather than naming the limit. Flagged as a usability improvement; not a functional defect.</w:t>
      </w:r>
    </w:p>
    <w:p>
      <w:pPr>
        <w:keepNext/>
        <w:spacing w:before="400" w:after="120"/>
      </w:pPr>
      <w:r>
        <w:rPr>
          <w:b/>
          <w:i w:val="0"/>
          <w:color w:val="1B5E3F"/>
          <w:sz w:val="30"/>
        </w:rPr>
        <w:t>Import Files</w:t>
      </w:r>
    </w:p>
    <w:p>
      <w:pPr>
        <w:pStyle w:val="ListBullet"/>
        <w:spacing w:after="80" w:line="276" w:lineRule="auto"/>
      </w:pPr>
      <w:r>
        <w:rPr>
          <w:b/>
          <w:i w:val="0"/>
          <w:color w:val="212121"/>
          <w:sz w:val="21"/>
        </w:rPr>
        <w:t xml:space="preserve">CSV only. </w:t>
      </w:r>
      <w:r>
        <w:rPr>
          <w:b w:val="0"/>
          <w:i w:val="0"/>
          <w:color w:val="212121"/>
          <w:sz w:val="21"/>
        </w:rPr>
        <w:t>Excel (</w:t>
      </w:r>
      <w:r>
        <w:rPr>
          <w:rFonts w:ascii="Consolas" w:hAnsi="Consolas" w:eastAsia="Consolas"/>
          <w:b w:val="0"/>
          <w:i w:val="0"/>
          <w:color w:val="212121"/>
          <w:sz w:val="21"/>
        </w:rPr>
        <w:t>.xlsx</w:t>
      </w:r>
      <w:r>
        <w:rPr>
          <w:b w:val="0"/>
          <w:i w:val="0"/>
          <w:color w:val="212121"/>
          <w:sz w:val="21"/>
        </w:rPr>
        <w:t>), JSON and PDF are not accepted for import.</w:t>
      </w:r>
    </w:p>
    <w:p>
      <w:pPr>
        <w:pStyle w:val="ListBullet"/>
        <w:spacing w:after="80" w:line="276" w:lineRule="auto"/>
      </w:pPr>
      <w:r>
        <w:rPr>
          <w:b/>
          <w:i w:val="0"/>
          <w:color w:val="212121"/>
          <w:sz w:val="21"/>
        </w:rPr>
        <w:t xml:space="preserve">Always start from the template. </w:t>
      </w:r>
      <w:r>
        <w:rPr>
          <w:b w:val="0"/>
          <w:i w:val="0"/>
          <w:color w:val="212121"/>
          <w:sz w:val="21"/>
        </w:rPr>
        <w:t>Download the Template from the relevant page or section for the type of content being imported, populate it, and upload it. Column headers must match the template.</w:t>
      </w:r>
    </w:p>
    <w:p>
      <w:pPr>
        <w:pStyle w:val="ListBullet"/>
        <w:spacing w:after="80" w:line="276" w:lineRule="auto"/>
      </w:pPr>
      <w:r>
        <w:rPr>
          <w:b/>
          <w:i w:val="0"/>
          <w:color w:val="212121"/>
          <w:sz w:val="21"/>
        </w:rPr>
        <w:t>Maximum file size: 10 MB.</w:t>
      </w:r>
    </w:p>
    <w:p>
      <w:pPr>
        <w:keepNext/>
        <w:spacing w:before="240" w:after="80"/>
      </w:pPr>
      <w:r>
        <w:rPr>
          <w:b/>
          <w:i w:val="0"/>
          <w:color w:val="2E7D54"/>
          <w:sz w:val="23"/>
        </w:rPr>
        <w:t>Multiple entries in a single cell</w:t>
      </w:r>
    </w:p>
    <w:p>
      <w:pPr>
        <w:spacing w:after="160" w:line="276" w:lineRule="auto"/>
      </w:pPr>
      <w:r>
        <w:rPr>
          <w:b w:val="0"/>
          <w:i w:val="0"/>
          <w:color w:val="212121"/>
          <w:sz w:val="21"/>
        </w:rPr>
        <w:t xml:space="preserve">Separate items with a </w:t>
      </w:r>
      <w:r>
        <w:rPr>
          <w:b/>
          <w:i w:val="0"/>
          <w:color w:val="212121"/>
          <w:sz w:val="21"/>
        </w:rPr>
        <w:t>comma</w:t>
      </w:r>
      <w:r>
        <w:rPr>
          <w:b w:val="0"/>
          <w:i w:val="0"/>
          <w:color w:val="212121"/>
          <w:sz w:val="21"/>
        </w:rPr>
        <w:t xml:space="preserve"> — not a semicolon, pipe, or any other character.</w:t>
      </w:r>
    </w:p>
    <w:tbl>
      <w:tblPr>
        <w:tblW w:type="auto" w:w="0"/>
        <w:tblLook w:firstColumn="1" w:firstRow="1" w:lastColumn="0" w:lastRow="0" w:noHBand="0" w:noVBand="1" w:val="04A0"/>
      </w:tblPr>
      <w:tblGrid>
        <w:gridCol w:w="9504"/>
      </w:tblGrid>
      <w:tr>
        <w:tc>
          <w:tcPr>
            <w:tcW w:type="dxa" w:w="9360"/>
            <w:shd w:val="clear" w:color="auto" w:fill="F4F6F5"/>
            <w:tcBorders>
              <w:top w:val="single" w:sz="4" w:color="DDE4E0"/>
              <w:bottom w:val="single" w:sz="4" w:color="DDE4E0"/>
              <w:left w:val="single" w:sz="4" w:color="DDE4E0"/>
              <w:right w:val="single" w:sz="4" w:color="DDE4E0"/>
            </w:tcBorders>
            <w:tcMar>
              <w:top w:w="120" w:type="dxa"/>
              <w:bottom w:w="120" w:type="dxa"/>
              <w:left w:w="150" w:type="dxa"/>
              <w:right w:w="140" w:type="dxa"/>
            </w:tcMar>
          </w:tcPr>
          <w:p>
            <w:pPr>
              <w:spacing w:after="40"/>
            </w:pPr>
            <w:r/>
            <w:r>
              <w:rPr>
                <w:rFonts w:ascii="Consolas" w:hAnsi="Consolas" w:eastAsia="Consolas"/>
                <w:b w:val="0"/>
                <w:i w:val="0"/>
                <w:color w:val="212121"/>
                <w:sz w:val="19"/>
              </w:rPr>
              <w:t>Tags:            recycled, post-consumer, verified</w:t>
            </w:r>
          </w:p>
          <w:p>
            <w:pPr>
              <w:spacing w:after="40"/>
            </w:pPr>
            <w:r>
              <w:rPr>
                <w:rFonts w:ascii="Consolas" w:hAnsi="Consolas" w:eastAsia="Consolas"/>
                <w:b w:val="0"/>
                <w:i w:val="0"/>
                <w:color w:val="212121"/>
                <w:sz w:val="19"/>
              </w:rPr>
              <w:t>Internal Tags:   priority-review, amazon-scope</w:t>
            </w:r>
          </w:p>
        </w:tc>
      </w:tr>
    </w:tbl>
    <w:p>
      <w:pPr>
        <w:spacing w:after="40"/>
      </w:pPr>
    </w:p>
    <w:p>
      <w:pPr>
        <w:spacing w:after="160" w:line="276" w:lineRule="auto"/>
      </w:pPr>
      <w:r>
        <w:rPr>
          <w:b w:val="0"/>
          <w:i w:val="0"/>
          <w:color w:val="212121"/>
          <w:sz w:val="21"/>
        </w:rPr>
        <w:t>Leading and trailing spaces around each item are trimmed automatically.</w:t>
      </w:r>
    </w:p>
    <w:p>
      <w:pPr>
        <w:spacing w:after="160" w:line="276" w:lineRule="auto"/>
      </w:pPr>
      <w:r>
        <w:rPr>
          <w:b w:val="0"/>
          <w:i/>
          <w:color w:val="5F6B66"/>
          <w:sz w:val="19"/>
        </w:rPr>
        <w:t>Exception: the Partner column also accepts a pipe ( | ) as a separator. Commas work everywhere and are the recommended convention.</w:t>
      </w:r>
    </w:p>
    <w:p>
      <w:pPr>
        <w:keepNext/>
        <w:spacing w:before="400" w:after="120"/>
      </w:pPr>
      <w:r>
        <w:rPr>
          <w:b/>
          <w:i w:val="0"/>
          <w:color w:val="1B5E3F"/>
          <w:sz w:val="30"/>
        </w:rPr>
        <w:t>Change Log</w:t>
      </w:r>
    </w:p>
    <w:tbl>
      <w:tblPr>
        <w:tblW w:type="auto" w:w="0"/>
        <w:jc w:val="left"/>
        <w:tblLayout w:type="fixed"/>
        <w:tblLook w:firstColumn="1" w:firstRow="1" w:lastColumn="0" w:lastRow="0" w:noHBand="0" w:noVBand="1" w:val="04A0"/>
      </w:tblPr>
      <w:tblGrid>
        <w:gridCol w:w="4752"/>
        <w:gridCol w:w="4752"/>
      </w:tblGrid>
      <w:tr>
        <w:trPr>
          <w:tblHeader w:val="true"/>
        </w:trPr>
        <w:tc>
          <w:tcPr>
            <w:tcW w:type="dxa" w:w="1728"/>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Date</w:t>
            </w:r>
          </w:p>
        </w:tc>
        <w:tc>
          <w:tcPr>
            <w:tcW w:type="dxa" w:w="7632"/>
            <w:shd w:val="clear" w:color="auto" w:fill="1B5E3F"/>
            <w:tcBorders>
              <w:top w:val="single" w:sz="4" w:color="1B5E3F"/>
              <w:bottom w:val="single" w:sz="4" w:color="1B5E3F"/>
              <w:left w:val="single" w:sz="4" w:color="1B5E3F"/>
              <w:right w:val="single" w:sz="4" w:color="1B5E3F"/>
            </w:tcBorders>
            <w:tcMar>
              <w:top w:w="80" w:type="dxa"/>
              <w:bottom w:w="80" w:type="dxa"/>
              <w:left w:w="110" w:type="dxa"/>
              <w:right w:w="110" w:type="dxa"/>
            </w:tcMar>
          </w:tcPr>
          <w:p>
            <w:pPr>
              <w:spacing w:after="0"/>
            </w:pPr>
            <w:r/>
            <w:r>
              <w:rPr>
                <w:b/>
                <w:i w:val="0"/>
                <w:color w:val="FFFFFF"/>
                <w:sz w:val="20"/>
              </w:rPr>
              <w:t>Change</w:t>
            </w:r>
          </w:p>
        </w:tc>
      </w:tr>
      <w:tr>
        <w:tc>
          <w:tcPr>
            <w:tcW w:type="dxa" w:w="1728"/>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14 Aug 2026</w:t>
            </w:r>
          </w:p>
        </w:tc>
        <w:tc>
          <w:tcPr>
            <w:tcW w:type="dxa" w:w="7632"/>
            <w:tcBorders>
              <w:top w:val="single" w:sz="4" w:color="D5E0DA"/>
              <w:bottom w:val="single" w:sz="4" w:color="D5E0DA"/>
              <w:left w:val="single" w:sz="4" w:color="D5E0DA"/>
              <w:right w:val="single" w:sz="4" w:color="D5E0DA"/>
            </w:tcBorders>
            <w:tcMar>
              <w:top w:w="80" w:type="dxa"/>
              <w:bottom w:w="80" w:type="dxa"/>
              <w:left w:w="110" w:type="dxa"/>
              <w:right w:w="110" w:type="dxa"/>
            </w:tcMar>
          </w:tcPr>
          <w:p>
            <w:pPr>
              <w:spacing w:after="0" w:line="252" w:lineRule="auto"/>
            </w:pPr>
            <w:r/>
            <w:r>
              <w:rPr>
                <w:b w:val="0"/>
                <w:i w:val="0"/>
                <w:color w:val="212121"/>
                <w:sz w:val="20"/>
              </w:rPr>
              <w:t>Time Out and Character Limits answered from the application. Product Identifiers clarified — save behaviour differs between Create and Edit. Certificate Number five-digit rule and save-time assignment confirmed as previously written.</w:t>
            </w:r>
          </w:p>
        </w:tc>
      </w:tr>
    </w:tbl>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s>
      <w:jc w:val="left"/>
    </w:pPr>
    <w:r/>
    <w:r>
      <w:rPr>
        <w:color w:val="5F6B66"/>
        <w:sz w:val="16"/>
      </w:rPr>
      <w:t>GCC Database Solution  ·  Key System Backend Functions  ·  14 August 2026</w:t>
      <w:tab/>
    </w:r>
    <w:r>
      <w:rPr>
        <w:color w:val="5F6B66"/>
        <w:sz w:val="16"/>
      </w:rPr>
      <w:t xml:space="preserve">Page </w:t>
    </w:r>
    <w:r>
      <w:rPr>
        <w:color w:val="5F6B66"/>
        <w:sz w:val="16"/>
      </w:rPr>
      <w:fldChar w:fldCharType="begin"/>
      <w:instrText xml:space="preserve"> PAGE </w:instrText>
      <w:fldChar w:fldCharType="end"/>
    </w:r>
    <w:r>
      <w:rPr>
        <w:color w:val="5F6B66"/>
        <w:sz w:val="16"/>
      </w:rPr>
      <w:t xml:space="preserve"> of </w:t>
    </w:r>
    <w:r>
      <w:rPr>
        <w:color w:val="5F6B66"/>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System Backend Functions</dc:title>
  <dc:subject>GCC Database Solution</dc:subject>
  <dc:creator>Anuki Consulting</dc:creator>
  <cp:keywords/>
  <dc:description>Version 1.0 — 14 August 2026</dc:description>
  <cp:lastModifiedBy/>
  <cp:revision>1</cp:revision>
  <dcterms:created xsi:type="dcterms:W3CDTF">2013-12-23T23:15:00Z</dcterms:created>
  <dcterms:modified xsi:type="dcterms:W3CDTF">2013-12-23T23:15:00Z</dcterms:modified>
  <cp:category/>
</cp:coreProperties>
</file>