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34"/>
        </w:rPr>
        <w:t>Deterministic, Population-Aware Pharmacogenomics Screening:</w:t>
        <w:br/>
        <w:t>Validation of the Anukriti Engine on CYP2D6, DPYD, and Warfarin Cohorts</w:t>
      </w:r>
    </w:p>
    <w:p>
      <w:pPr>
        <w:spacing w:after="80"/>
        <w:jc w:val="center"/>
      </w:pPr>
      <w:r>
        <w:rPr>
          <w:i/>
        </w:rPr>
        <w:t>Abhimanyu R B¹, Aagneye Syam¹, Johan George¹, Atul Alexander¹, Deepak Roshan V G²</w:t>
      </w:r>
    </w:p>
    <w:p>
      <w:pPr>
        <w:spacing w:after="80"/>
        <w:jc w:val="center"/>
      </w:pPr>
      <w:r>
        <w:t>¹ Anukriti AI, Kerala, India</w:t>
        <w:br/>
        <w:t>² Department of Molecular Biology, Malabar Cancer Centre, Kannur, Kerala, India</w:t>
      </w:r>
    </w:p>
    <w:p>
      <w:pPr>
        <w:spacing w:after="40"/>
        <w:jc w:val="center"/>
      </w:pPr>
      <w:r>
        <w:rPr>
          <w:sz w:val="20"/>
        </w:rPr>
        <w:t>Corresponding author: Abhimanyu R B — abhimanyu@anukritiai.com</w:t>
      </w:r>
    </w:p>
    <w:p>
      <w:pPr>
        <w:spacing w:after="320"/>
        <w:jc w:val="center"/>
      </w:pPr>
      <w:r>
        <w:rPr>
          <w:i/>
          <w:sz w:val="19"/>
        </w:rPr>
        <w:t>Manuscript status: Pre-print / researcher-review draft — prepared September 7, 2026 (content current as of Draft v0.9, June 18, 2026; see currency note below)</w:t>
      </w:r>
    </w:p>
    <w:p>
      <w:r>
        <w:br w:type="page"/>
      </w:r>
    </w:p>
    <w:p>
      <w:pPr>
        <w:pStyle w:val="Heading2"/>
      </w:pPr>
      <w:r>
        <w:t>Note on Engine Version and Post-Publication Corrections</w:t>
      </w:r>
    </w:p>
    <w:p>
      <w:pPr>
        <w:spacing w:after="160"/>
      </w:pPr>
      <w:r>
        <w:t xml:space="preserve">This manuscript's data collection and analysis (Methods §2.1–2.9, Results §3) were performed primarily against </w:t>
      </w:r>
      <w:r>
        <w:rPr>
          <w:b/>
        </w:rPr>
        <w:t>anukriti-pgx-core v0.6.0</w:t>
      </w:r>
      <w:r>
        <w:t>, the version live on PyPI at the time of the June 2026 validation runs, with one exception noted below (the IWPC undertreated-patient count, computed earlier against v0.2.1). All reported numbers below are reproduced unchanged from their respective original analyses. Three corrections are disclosed here for reviewer transparency, since the engine has advanced past the version(s) validated in this manuscript:</w:t>
      </w:r>
    </w:p>
    <w:p>
      <w:pPr>
        <w:pStyle w:val="ListBullet"/>
      </w:pPr>
      <w:r>
        <w:rPr>
          <w:b/>
        </w:rPr>
        <w:t>DPYD HapB3 causal/tag distinction (fixed in v0.7.3–v0.9.0).</w:t>
      </w:r>
      <w:r>
        <w:t xml:space="preserve"> The version validated here called the CPIC HapB3 allele (§2.6, §3.2) using the combined rs56038477/rs75017182 marker without distinguishing the causal splice variant (rs75017182) from its benign synonymous proxy (rs56038477, in imperfect linkage disequilibrium — Turner/Haidar 2024, PMID 38129972). At that engine version, HapB3 calls rested on the tag SNP alone; the causal variant could not be represented and CPIC's mandated tag-only disclosure could not be issued. This has since been corrected: the current engine (v0.9.0) is haplotype-aware, records call provenance (</w:t>
      </w:r>
      <w:r>
        <w:rPr>
          <w:rFonts w:ascii="Consolas" w:hAnsi="Consolas"/>
        </w:rPr>
        <w:t>hapb3_basis</w:t>
      </w:r>
      <w:r>
        <w:t>: haplotype / causal / tag_only / tag_without_causal), and adds four previously uncallable actionable DPYD alleles, raising callable share of actionable Central/South Asian DPYD allele frequency from 78.7% to 100%. This does not change the phenotype, action, or evidence level of any call reported in this manuscript, but readers applying the DPYD methodology described in §2.6 to new cohorts should use v0.9.0 or later rather than v0.6.0.</w:t>
      </w:r>
    </w:p>
    <w:p>
      <w:pPr>
        <w:pStyle w:val="ListBullet"/>
      </w:pPr>
      <w:r>
        <w:rPr>
          <w:b/>
        </w:rPr>
        <w:t>CYP2C9 phenotype table (F-10, corrected prior to v0.6.0).</w:t>
      </w:r>
      <w:r>
        <w:t xml:space="preserve"> An internal CPIC-conformance audit identified that the CYP2C9 allele-function and diplotype-phenotype tables used in early engine versions disagreed with canonical CPIC assignments for 10 of 16 alleles (38% agreement) and 43 of 136 diplotypes (32% agreement). This was corrected by regenerating both tables verbatim from the CPIC API prior to the warfarin cohort analysis reported in §3.1; the IWPC results in this manuscript reflect the corrected tables (100% CPIC agreement). This audit finding is disclosed here because it is material to any reader evaluating the reliability of engine outputs.</w:t>
      </w:r>
    </w:p>
    <w:p>
      <w:pPr>
        <w:pStyle w:val="ListBullet"/>
      </w:pPr>
      <w:r>
        <w:rPr>
          <w:b/>
        </w:rPr>
        <w:t>IWPC undertreated-patient count (467→459).</w:t>
      </w:r>
      <w:r>
        <w:t xml:space="preserve"> The Results §3.1 / Abstract figure of 467 patients (8.2%) warranting clinical action was computed on </w:t>
      </w:r>
      <w:r>
        <w:rPr>
          <w:b/>
        </w:rPr>
        <w:t>anukriti-pgx-core v0.2.1</w:t>
      </w:r>
      <w:r>
        <w:t xml:space="preserve">, before the v0.4.0 CYP2C9 table fix (see the F-10 finding above) re-binned 10 of 16 CYP2C9 alleles to canonical CPIC assignments. Re-running the identical IWPC cohort on the current engine moves ~40 patients from Poor Metabolizer to Intermediate Metabolizer on the CYP2C9 axis and reduces the INR-confirmed undertreated count to </w:t>
      </w:r>
      <w:r>
        <w:rPr>
          <w:b/>
        </w:rPr>
        <w:t>459 patients (~8.1%)</w:t>
      </w:r>
      <w:r>
        <w:t xml:space="preserve"> — both figures represent ~21% of undertreated high-risk patients falling outside the 2.0–3.0 target INR range. The direction, magnitude, and clinical conclusion are unchanged; only the exact count moved. All other IWPC results in §3.1 (tier medians, n=3,998, n=5,700, the Kruskal-Wallis and Spearman statistics) are unaffected by this fix and are reported as originally computed. Reproduction runner: </w:t>
      </w:r>
      <w:r>
        <w:rPr>
          <w:rFonts w:ascii="Consolas" w:hAnsi="Consolas"/>
        </w:rPr>
        <w:t>anukriti-validation-iwpc/scripts/run_validation.py</w:t>
      </w:r>
      <w:r>
        <w:t>.</w:t>
      </w:r>
    </w:p>
    <w:p>
      <w:pPr>
        <w:spacing w:after="80"/>
      </w:pPr>
      <w:r>
        <w:t xml:space="preserve">The current published engine version is </w:t>
      </w:r>
      <w:r>
        <w:rPr>
          <w:b/>
        </w:rPr>
        <w:t>anukriti-pgx-core v0.9.0</w:t>
      </w:r>
      <w:r>
        <w:t xml:space="preserve"> (PyPI), supporting 14 genes with CPIC-pinned tables and full call provenance. All other results, figures, and conclusions in this manuscript are unaffected by the above and are presented as originally computed.</w:t>
      </w:r>
    </w:p>
    <w:p>
      <w:r>
        <w:br w:type="page"/>
      </w:r>
    </w:p>
    <w:p>
      <w:pPr>
        <w:pStyle w:val="Heading2"/>
      </w:pPr>
      <w:r>
        <w:t>Abstract</w:t>
      </w:r>
    </w:p>
    <w:p>
      <w:pPr>
        <w:spacing w:after="120"/>
      </w:pPr>
      <w:r>
        <w:t>Pharmacogenomic (PGx) screening has the potential to prevent drug-induced harm at scale, yet its clinical adoption remains constrained by two persistent gaps: the absence of deterministic, auditable infrastructure for regulatory-grade deployment, and systematic underrepresentation of non-European ancestry populations in validation datasets. Here we present Anukriti, a deterministic pharmacogenomics engine that processes patient genome files to assign star allele diplotypes, metabolizer phenotypes, and CPIC-graded drug recommendations with full provenance tracing across a multi-gene panel (14 genes in the currently published core library; a broader product-level panel is under active expansion). Every output cites a versioned guideline, a PharmVar allele definition, and a population frequency source; evidence-insufficient cases are handled through a taxonomy of 31 named refusal rules rather than defaulting to standard assumptions.</w:t>
      </w:r>
    </w:p>
    <w:p>
      <w:pPr>
        <w:spacing w:after="120"/>
      </w:pPr>
      <w:r>
        <w:t>We report validation across three domains. First, application to the International Warfarin Pharmacogenomics Consortium dataset (n=5,700) demonstrated that engine-assigned CYP2C9/VKORC1 risk tiers correlated with physician-prescribed stable warfarin doses without access to dose information at inference time; 467 patients (8.2%, later engine versions: 459 — see currency note) were identified as warranting clinical action under CPIC guidelines. Second, DPYD variant calling against the four CPIC Level A actionable variants — with zygosity-based 5-fluorouracil dose guidance and an extended Indian subcontinent variant panel — produced MTB-ready clinical outputs traceable to CPIC and ClinVar evidence grades. Third, CYP2D6 structural variant diplotyping using StarPhase 1.4.2 on GIAB/GeT-RM long-read reference samples achieved diplotype and phenotype concordance of 1.000 on two verified samples (HG002: *2/*4 → IM; HG001/NA12878: *3/*68+*4 → PM), with the hybrid-tandem SV genotype in HG001 — the class of case most likely to fail short-read heuristics — called correctly. A South Asian ancestry sample (HG01190) was subsequently completed on a cloud genomics VM via whole-genome long-read alignment: StarPhase resolved an all-no-function CYP2D6 structural configuration (*68+*4x2/*68+*4) yielding the correct Poor Metabolizer phenotype (phenotype concordance 1.000), though differing from the GeT-RM consensus diplotype (*68+*4/*5) at the structural level — a functionally-equivalent disagreement that illustrates both the value and the current limits of automated SV diplotyping for the equity-critical SAS cell.</w:t>
      </w:r>
    </w:p>
    <w:p>
      <w:pPr>
        <w:spacing w:after="120"/>
      </w:pPr>
      <w:r>
        <w:t>Together, these results establish that deterministic, population-aware PGx screening is computationally tractable and clinically interpretable across ancestry groups historically excluded from PGx reference panels. The Anukriti engine is available as an open-source Python library (anukriti-pgx-core, PyPI) and as a production API, providing accessible infrastructure for pre-trial cohort stratification and clinical pharmacogenomics research. The results reported here were computed against anukriti-pgx-core v0.6.0; the package has since advanced to v0.9.0 (see the currency note preceding this abstract for details).</w:t>
      </w:r>
    </w:p>
    <w:p>
      <w:pPr>
        <w:spacing w:after="120"/>
      </w:pPr>
      <w:r>
        <w:rPr>
          <w:b/>
        </w:rPr>
        <w:t>Keywords:</w:t>
      </w:r>
      <w:r>
        <w:t xml:space="preserve"> pharmacogenomics, CYP2D6, DPYD, warfarin, deterministic clinical decision support, population equity, named refusals, CPIC, structural variants, South Asian genomics</w:t>
      </w:r>
    </w:p>
    <w:p>
      <w:pPr>
        <w:pStyle w:val="Heading2"/>
      </w:pPr>
      <w:r>
        <w:t>1. Introduction</w:t>
      </w:r>
    </w:p>
    <w:p>
      <w:pPr>
        <w:spacing w:after="120"/>
      </w:pPr>
      <w:r>
        <w:t>Pharmacogenomics (PGx) — the study of how genetic variation influences drug response — has been recognized as a cornerstone of precision medicine for over two decades. The Clinical Pharmacogenomics Implementation Consortium (CPIC) has systematically translated pharmacogenomic evidence into actionable clinical guidelines, covering gene-drug pairs across oncology, cardiology, psychiatry, and infectious disease. Despite this progress, the operationalization of PGx at the point of clinical decision-making remains limited, particularly in the context of drug development and pre-trial patient stratification.</w:t>
      </w:r>
    </w:p>
    <w:p>
      <w:pPr>
        <w:spacing w:after="120"/>
      </w:pPr>
      <w:r>
        <w:t>A critical and underappreciated barrier is population representativeness. The majority of pharmacogenomic reference data, allele frequency databases, and clinical validation studies have been conducted in populations of European ancestry. Variants of high clinical significance in South Asian, African, and East Asian populations — including DPYD variants prevalent in Indian cohorts and CYP2D6 structural variants common in African ancestry samples — remain poorly characterized in deployed clinical tools. This Eurocentric bias introduces systematic risk: patients from underrepresented populations may be enrolled in trials for which their genetic profiles would have predicted toxicity or non-response, had the screening infrastructure existed to detect it.</w:t>
      </w:r>
    </w:p>
    <w:p>
      <w:pPr>
        <w:spacing w:after="120"/>
      </w:pPr>
      <w:r>
        <w:t>Existing computational approaches to PGx screening fall into two broad categories. Rule-based systems such as PharmCAT apply CPIC guidelines deterministically but lack population-aware allele frequency reasoning and do not define explicit refusal conditions for evidence-insufficient cases. Machine learning approaches, including recent LLM-augmented platforms, offer flexible input handling but sacrifice the auditability and reproducibility required for regulatory-grade clinical use — every output must trace to a versioned guideline, not a probability distribution.</w:t>
      </w:r>
    </w:p>
    <w:p>
      <w:pPr>
        <w:spacing w:after="120"/>
      </w:pPr>
      <w:r>
        <w:t>Here we describe Anukriti, a deterministic pharmacogenomics infrastructure platform designed to address both limitations. The Anukriti engine processes patient genome files (VCF or BAM), assigns star allele diplotypes and metabolizer phenotypes across a multi-gene panel (14 genes in the currently published core library), and maps each result to CPIC-graded drug recommendations with full provenance — citing guideline version, PMID, and population frequency source for every output. Critically, the engine implements a taxonomy of 31 named refusal rules (R1–R12, V1–V10, U1–U9) that explicitly flag evidence-insufficient cases rather than defaulting to a standard recommendation, preserving the integrity of the clinical decision trail.</w:t>
      </w:r>
    </w:p>
    <w:p>
      <w:pPr>
        <w:spacing w:after="120"/>
      </w:pPr>
      <w:r>
        <w:t>We report validation of the engine across three domains: warfarin dose prediction using the International Warfarin Pharmacogenomics Consortium (IWPC) dataset (n=5,700), DPYD-guided 5-fluorouracil safety screening benchmarked against CPIC Level A actionable variants, and CYP2D6 structural variant diplotyping benchmarked against GIAB/GeT-RM reference samples using StarPhase 1.4.2 on long-read data. Together, these validations demonstrate that deterministic, population-aware PGx screening is computationally tractable, clinically interpretable, and equitable across ancestry groups — including South Asian populations historically excluded from PGx reference panels.</w:t>
      </w:r>
    </w:p>
    <w:p>
      <w:pPr>
        <w:pStyle w:val="Heading2"/>
      </w:pPr>
      <w:r>
        <w:t>2. Methods</w:t>
      </w:r>
    </w:p>
    <w:p>
      <w:pPr>
        <w:pStyle w:val="Heading3"/>
      </w:pPr>
      <w:r>
        <w:t>2.1 Reference Allele Activity Values</w:t>
      </w:r>
    </w:p>
    <w:p>
      <w:pPr>
        <w:spacing w:after="120"/>
      </w:pPr>
      <w:r>
        <w:t>CYP2D6 allele activity values were transcribed verbatim from the PharmVar CYP2D6 SV tutorial (Turner et al. 2023, PMID 37669183) and pinned as a provenance-stamped source table (</w:t>
      </w:r>
      <w:r>
        <w:rPr>
          <w:rFonts w:ascii="Consolas" w:hAnsi="Consolas"/>
        </w:rPr>
        <w:t>cyp2d6_sv_nomenclature.py</w:t>
      </w:r>
      <w:r>
        <w:t>). Activity values follow CPIC guidelines, including the March 2023 downgrade of *41 from 0.5 to 0.25. Alleles with uncertain function (*22, *146) are explicitly refused scoring and flagged with a named refusal rather than assigned a default value.</w:t>
      </w:r>
    </w:p>
    <w:p>
      <w:pPr>
        <w:pStyle w:val="Heading3"/>
      </w:pPr>
      <w:r>
        <w:t>2.2 Diplotype Normalization</w:t>
      </w:r>
    </w:p>
    <w:p>
      <w:pPr>
        <w:spacing w:after="120"/>
      </w:pPr>
      <w:r>
        <w:t xml:space="preserve">Raw diplotype strings from external callers were normalized prior to phenotype assignment: CYP2D6 prefix stripping, unicode multiplication sign unification (×→x), suballele suffix collapsing (*4.001→*4), and whitespace removal in tandem alleles. Normalization was implemented in </w:t>
      </w:r>
      <w:r>
        <w:rPr>
          <w:rFonts w:ascii="Consolas" w:hAnsi="Consolas"/>
        </w:rPr>
        <w:t>normalize_diplotype()</w:t>
      </w:r>
      <w:r>
        <w:t xml:space="preserve"> and validated against 22 paper-cited test cases.</w:t>
      </w:r>
    </w:p>
    <w:p>
      <w:pPr>
        <w:pStyle w:val="Heading3"/>
      </w:pPr>
      <w:r>
        <w:t>2.3 Structural Variant Truth Set</w:t>
      </w:r>
    </w:p>
    <w:p>
      <w:pPr>
        <w:spacing w:after="120"/>
      </w:pPr>
      <w:r>
        <w:t>The truth set was constructed from GIAB/GeT-RM reference samples with authoritative CYP2D6 diplotype calls. Truth diplotypes were sourced exclusively from published GeT-RM consensus data (Gaedigk et al. 2019, Table 3) and Deserranno et al. 2025 to prevent fabrication of reference calls. HG005 (NA24631) was excluded from the scored truth set as no GeT-RM CYP2D6 consensus exists for this sample; Deserranno et al. 2025 marks it N/A.</w:t>
      </w:r>
    </w:p>
    <w:p>
      <w:pPr>
        <w:spacing w:after="120"/>
      </w:pPr>
      <w:r>
        <w:t xml:space="preserve">HG01190 (South Asian, SAS) represents the primary population-equity evaluation cell; its truth diplotype (*68+*4/*5 → Poor Metabolizer) is established and its long-read data is hosted at ENA (SRR25583344, E-MTAB-15248) as unaligned whole-genome ONT FASTQ (~7.6 GB). The remote index-slice technique used for GIAB samples cannot be applied to unindexed FASTQ; a full minimap2 alignment to GRCh38 is required prior to locus extraction. This procedure is documented and turnkey in </w:t>
      </w:r>
      <w:r>
        <w:rPr>
          <w:rFonts w:ascii="Consolas" w:hAnsi="Consolas"/>
        </w:rPr>
        <w:t>scripts/fetch_ena_cyp2d6_longread.sh</w:t>
      </w:r>
      <w:r>
        <w:t>.</w:t>
      </w:r>
    </w:p>
    <w:p>
      <w:pPr>
        <w:pStyle w:val="Heading3"/>
      </w:pPr>
      <w:r>
        <w:t>2.4 StarPhase Benchmarking</w:t>
      </w:r>
    </w:p>
    <w:p>
      <w:pPr>
        <w:spacing w:after="120"/>
      </w:pPr>
      <w:r>
        <w:t xml:space="preserve">CYP2D6 diplotype calls were generated using StarPhase 1.4.2 (Holt et al. 2024, PacBio) from targeted long-read sequencing data. StarPhase produces consensus haplotypes directly from BAM input without a separate variant-calling step, collapsing the multi-tool short-read pipeline into a single tool. Output diplotypes were passed through the normalization layer and scored against the truth set using </w:t>
      </w:r>
      <w:r>
        <w:rPr>
          <w:rFonts w:ascii="Consolas" w:hAnsi="Consolas"/>
        </w:rPr>
        <w:t>cyp2d6_starphase_runner.py</w:t>
      </w:r>
      <w:r>
        <w:t>.</w:t>
      </w:r>
    </w:p>
    <w:p>
      <w:pPr>
        <w:spacing w:after="120"/>
      </w:pPr>
      <w:r>
        <w:rPr>
          <w:b/>
        </w:rPr>
        <w:t>Implementation note:</w:t>
      </w:r>
      <w:r>
        <w:t xml:space="preserve"> The </w:t>
      </w:r>
      <w:r>
        <w:rPr>
          <w:rFonts w:ascii="Consolas" w:hAnsi="Consolas"/>
        </w:rPr>
        <w:t>pbstarphase build</w:t>
      </w:r>
      <w:r>
        <w:t xml:space="preserve"> command (which queries the live CPIC API to construct the reference database) is broken in StarPhase 1.4.2 due to an upstream CPIC API response format change (invalid type: map, expected a sequence). All analyses used the prebuilt PacBio reference database shipped with the repository (</w:t>
      </w:r>
      <w:r>
        <w:rPr>
          <w:rFonts w:ascii="Consolas" w:hAnsi="Consolas"/>
        </w:rPr>
        <w:t>data/v1.4.0/pbstarphase_20250515.json.gz</w:t>
      </w:r>
      <w:r>
        <w:t>). This does not affect diplotype calling accuracy; the prebuilt database reflects CPIC allele definitions as of May 2025.</w:t>
      </w:r>
    </w:p>
    <w:p>
      <w:pPr>
        <w:spacing w:after="120"/>
      </w:pPr>
      <w:r>
        <w:t>Long-read BAM files for GIAB samples were retrieved using a remote region-slicer (</w:t>
      </w:r>
      <w:r>
        <w:rPr>
          <w:rFonts w:ascii="Consolas" w:hAnsi="Consolas"/>
        </w:rPr>
        <w:t>fetch_giab_cyp2d6_longread.py</w:t>
      </w:r>
      <w:r>
        <w:t>), targeting the CYP2D6 locus (chr22:42,126,499–42,130,810 core; 42,100,000–42,160,000 slice window, GRCh38) to minimize data transfer. HG001 locus BAM comprised 273 reads, 1.7 MB, retrieved in approximately 15 seconds.</w:t>
      </w:r>
    </w:p>
    <w:p>
      <w:pPr>
        <w:pStyle w:val="Heading3"/>
      </w:pPr>
      <w:r>
        <w:t>2.5 Phenotype Assignment and Concordance</w:t>
      </w:r>
    </w:p>
    <w:p>
      <w:pPr>
        <w:spacing w:after="120"/>
      </w:pPr>
      <w:r>
        <w:t>Activity scores were summed per diplotype and mapped to CPIC metabolizer phenotype bins (Poor/Intermediate/Normal/Rapid/Ultrarapid Metabolizer). Concordance was computed as the fraction of samples where the called phenotype matched the truth phenotype. Uncertain-function alleles were excluded from the concordance denominator and reported separately as named refusals. A pre-existing SV-blind truth entry for NA12878 (*1/*1, Normal Metabolizer — the heuristic call) was removed from the truth set and replaced with the authoritative GeT-RM SV diplotype (*3/*68+*4, Poor Metabolizer) to prevent artifactual concordance inflation.</w:t>
      </w:r>
    </w:p>
    <w:p>
      <w:pPr>
        <w:pStyle w:val="Heading3"/>
      </w:pPr>
      <w:r>
        <w:t>2.6 DPYD Variant Calling and Clinical Action Tiers</w:t>
      </w:r>
    </w:p>
    <w:p>
      <w:pPr>
        <w:spacing w:after="120"/>
      </w:pPr>
      <w:r>
        <w:t>DPYD variant calling targeted the four CPIC Level A actionable variants (rs3918290, rs55886062, rs67376798, rs56038477/rs75017182) plus five Indian subcontinent variants of interest (rs1801265, rs2297595, rs1801159, rs1801158, rs1801160). Zygosity was determined for each variant and mapped to a clinical action tier: homozygous high-risk → contraindicate 5-fluorouracil; heterozygous → 50% dose reduction; homozygous reference → standard dosing. ClinVar pathogenicity annotations were integrated for variants below CPIC evidence grade, with named refusals applied per rules R7–R9.</w:t>
      </w:r>
    </w:p>
    <w:p>
      <w:pPr>
        <w:pStyle w:val="Heading3"/>
      </w:pPr>
      <w:r>
        <w:t>2.7 Warfarin Cohort Analysis</w:t>
      </w:r>
    </w:p>
    <w:p>
      <w:pPr>
        <w:spacing w:after="120"/>
      </w:pPr>
      <w:r>
        <w:t>The IWPC dataset (n=5,700, publicly available) was processed through the Anukriti CYP2C9/VKORC1 calling pipeline. Each patient was assigned a risk tier (high sensitivity, standard, reduced sensitivity) based on diplotype. Risk tiers were compared against physician-prescribed stable warfarin doses without dose information available at inference time. Correlation between engine-assigned risk tiers and stable warfarin dose was assessed using Kruskal-Wallis test for group differences and Spearman rank correlation for dose-tier association. Warfarin dose distributions were not assumed to be normal. Significance threshold was set at p &lt; 0.05.</w:t>
      </w:r>
    </w:p>
    <w:p>
      <w:pPr>
        <w:pStyle w:val="Heading3"/>
      </w:pPr>
      <w:r>
        <w:t>2.8 DPYD Variant Functional Classification and Two-Tier Inference</w:t>
      </w:r>
    </w:p>
    <w:p>
      <w:pPr>
        <w:spacing w:after="120"/>
      </w:pPr>
      <w:r>
        <w:t>To triage DPYD variants outside CPIC's deterministic scope — the novel and variant-of-uncertain-significance (VUS) tail discovered in population-specific sequencing — a supervised classifier was trained to assign three functional classes (no_function / decreased_function / normal_function). The deterministic engine (§2.6) remains the source of truth for CPIC-assigned variants; the classifier only ranks the residual. Training data combined ClinVar DPYD records, the CPIC allele-functionality table, Offer et al. 2014 functional-assay measurements, and PharmVar allele activity scores (392 labeled variants; 23 decreased_function examples). Features comprised gnomAD global and South-Asian allele frequencies, consequence and clinical-significance categoricals, a protein-domain ordinal and residue position, and measured enzyme activity where available. Class imbalance was addressed with balanced class weights (RandomForest, LightGBM), balanced per-sample weights (XGBoost; the multiclass analog of scale_pos_weight), and SMOTE applied to the training fold only. Models were evaluated by stratified 5-fold cross-validation; all metrics carry a small-N caveat owing to the limited labeled set.</w:t>
      </w:r>
    </w:p>
    <w:p>
      <w:pPr>
        <w:spacing w:after="120"/>
      </w:pPr>
      <w:r>
        <w:t>To evaluate the classifier on novel population-discovery variants, the 25 DPYD variants from an Indian cohort (Scaria et al. 2025) were annotated with protein-level features via the Ensembl VEP REST API (canonical transcript NM_000110.4 / ENST00000370192), yielding AlphaMissense pathogenicity, CADD, SIFT, PolyPhen, residue position, and consequence; AlphaMissense scores were independently cross-checked against the precomputed hg38 table (Cheng et al. 2023). The same protein-level features were back-annotated onto the training set so the model could learn from them rather than treat them as constants. Variants without a measurable score for a given feature (e.g. AlphaMissense is defined for missense substitutions only, not indels, splice, or intronic variants) retained an explicit −1 sentinel rather than an imputed value, consistent with the platform's named-refusal principle.</w:t>
      </w:r>
    </w:p>
    <w:p>
      <w:pPr>
        <w:spacing w:after="120"/>
      </w:pPr>
      <w:r>
        <w:t xml:space="preserve">A diagnostic analysis of this configuration (hereafter the mixed-feature model) showed that the highest-weighted features were the clinical-significance and measured-activity terms — exactly the features that are sentinel-valued for newly discovered variants carrying neither a ClinVar entry nor a functional assay. The model therefore defaulted the entire novel-variant set to a single class regardless of protein-level signal (§4.5). To test whether the classifier could instead discriminate novel variants from protein-level evidence alone, we trained a restricted </w:t>
      </w:r>
      <w:r>
        <w:rPr>
          <w:b/>
        </w:rPr>
        <w:t>protein-only model</w:t>
      </w:r>
      <w:r>
        <w:t xml:space="preserve"> in which the clinical-label and frequency proxies were removed entirely. The feature set was reduced to seven numeric/ordinal protein-level features — AlphaMissense pathogenicity, CADD, SIFT, PolyPhen, the VEP-consequence ordinal, residue position, and the protein-domain ordinal — dropping the measured-activity term and the clinical-significance and allele-frequency categoricals. The training set (the same 392 labeled variants), imbalance handling (balanced class/sample weights, training-fold-only SMOTE), honesty guard, and 5-fold stratified cross-validation protocol were otherwise identical to the mixed-feature model, so the two are directly comparable. Both the cross-validation comparison and the Scaria inference were rerun on the protein-only model (</w:t>
      </w:r>
      <w:r>
        <w:rPr>
          <w:rFonts w:ascii="Consolas" w:hAnsi="Consolas"/>
        </w:rPr>
        <w:t>train_v4.py</w:t>
      </w:r>
      <w:r>
        <w:t xml:space="preserve"> / </w:t>
      </w:r>
      <w:r>
        <w:rPr>
          <w:rFonts w:ascii="Consolas" w:hAnsi="Consolas"/>
        </w:rPr>
        <w:t>infer_v4.py</w:t>
      </w:r>
      <w:r>
        <w:t xml:space="preserve">); persisted model artefacts are archived to </w:t>
      </w:r>
      <w:r>
        <w:rPr>
          <w:rFonts w:ascii="Consolas" w:hAnsi="Consolas"/>
        </w:rPr>
        <w:t>gs://anukriti-ml-artifacts/dpyd-classifier/v4/</w:t>
      </w:r>
      <w:r>
        <w:t>.</w:t>
      </w:r>
    </w:p>
    <w:p>
      <w:pPr>
        <w:pStyle w:val="Heading3"/>
      </w:pPr>
      <w:r>
        <w:t>2.9 CYP2C9 MAVE-Derived Labels and Clinical Phenotype Divergence</w:t>
      </w:r>
    </w:p>
    <w:p>
      <w:pPr>
        <w:spacing w:after="120"/>
      </w:pPr>
      <w:r>
        <w:t>To test whether multiplexed assay of variant effect (MAVE) data could supply training labels for a CYP2C9 functional classifier, we obtained 13,345 CYP2C9 MAVE variants (paired Click-seq and VAMP-seq libraries) from MaveDB. After filtering ambiguous and conflicting rows, 8,050 variants were retained for classifier development. Functional labels (no_function / decreased_function / normal_function) were assigned by thresholding the MAVE scores.</w:t>
      </w:r>
    </w:p>
    <w:p>
      <w:pPr>
        <w:spacing w:after="120"/>
      </w:pPr>
      <w:r>
        <w:t xml:space="preserve">A v1 scaffold trained directly on these labels achieved a 5-fold cross-validation accuracy of 0.996 (XGBoost) but was </w:t>
      </w:r>
      <w:r>
        <w:rPr>
          <w:b/>
        </w:rPr>
        <w:t>circular by construction</w:t>
      </w:r>
      <w:r>
        <w:t>: the Click-seq and VAMP-seq scores from which the labels were thresholded accounted for ~77% of feature importance, so the model was reproducing its own label-generation rule rather than learning variant function. A leave-anchors-out test confirmed this — all four testable CPIC anchors (*2, *3, *6, *11) were misclassified once the 500× anchor upweighting was removed. v1 is therefore a MAVE-threshold reproducer, not a clinical predictor.</w:t>
      </w:r>
    </w:p>
    <w:p>
      <w:pPr>
        <w:spacing w:after="120"/>
      </w:pPr>
      <w:r>
        <w:t xml:space="preserve">The decisive observation is that the MAVE assay function and the CPIC clinical phenotype </w:t>
      </w:r>
      <w:r>
        <w:rPr>
          <w:b/>
        </w:rPr>
        <w:t>disagree at every testable anchor</w:t>
      </w:r>
      <w:r>
        <w:t>. For the four CYP2C9 alleles with both MAVE measurements and an established CPIC functional assignment: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19"/>
              </w:rPr>
            </w:r>
            <w:r>
              <w:rPr>
                <w:b/>
                <w:color w:val="FFFFFF"/>
                <w:sz w:val="19"/>
              </w:rPr>
              <w:t>Allele</w:t>
            </w:r>
          </w:p>
        </w:tc>
        <w:tc>
          <w:tcPr>
            <w:tcW w:type="dxa" w:w="1872"/>
            <w:shd w:val="clear" w:color="auto" w:fill="1F3864"/>
          </w:tcPr>
          <w:p>
            <w:r>
              <w:rPr>
                <w:b/>
                <w:color w:val="FFFFFF"/>
                <w:sz w:val="19"/>
              </w:rPr>
            </w:r>
            <w:r>
              <w:rPr>
                <w:b/>
                <w:color w:val="FFFFFF"/>
                <w:sz w:val="19"/>
              </w:rPr>
              <w:t>CPIC clinical</w:t>
            </w:r>
          </w:p>
        </w:tc>
        <w:tc>
          <w:tcPr>
            <w:tcW w:type="dxa" w:w="1872"/>
            <w:shd w:val="clear" w:color="auto" w:fill="1F3864"/>
          </w:tcPr>
          <w:p>
            <w:r>
              <w:rPr>
                <w:b/>
                <w:color w:val="FFFFFF"/>
                <w:sz w:val="19"/>
              </w:rPr>
            </w:r>
            <w:r>
              <w:rPr>
                <w:b/>
                <w:color w:val="FFFFFF"/>
                <w:sz w:val="19"/>
              </w:rPr>
              <w:t>CLICK-seq</w:t>
            </w:r>
          </w:p>
        </w:tc>
        <w:tc>
          <w:tcPr>
            <w:tcW w:type="dxa" w:w="1872"/>
            <w:shd w:val="clear" w:color="auto" w:fill="1F3864"/>
          </w:tcPr>
          <w:p>
            <w:r>
              <w:rPr>
                <w:b/>
                <w:color w:val="FFFFFF"/>
                <w:sz w:val="19"/>
              </w:rPr>
            </w:r>
            <w:r>
              <w:rPr>
                <w:b/>
                <w:color w:val="FFFFFF"/>
                <w:sz w:val="19"/>
              </w:rPr>
              <w:t>VAMP-seq</w:t>
            </w:r>
          </w:p>
        </w:tc>
        <w:tc>
          <w:tcPr>
            <w:tcW w:type="dxa" w:w="1872"/>
            <w:shd w:val="clear" w:color="auto" w:fill="1F3864"/>
          </w:tcPr>
          <w:p>
            <w:r>
              <w:rPr>
                <w:b/>
                <w:color w:val="FFFFFF"/>
                <w:sz w:val="19"/>
              </w:rPr>
            </w:r>
            <w:r>
              <w:rPr>
                <w:b/>
                <w:color w:val="FFFFFF"/>
                <w:sz w:val="19"/>
              </w:rPr>
              <w:t>MAVE assay implies</w:t>
            </w:r>
          </w:p>
        </w:tc>
      </w:tr>
      <w:tr>
        <w:tc>
          <w:tcPr>
            <w:tcW w:type="dxa" w:w="1872"/>
          </w:tcPr>
          <w:p>
            <w:r>
              <w:rPr>
                <w:sz w:val="19"/>
              </w:rPr>
            </w:r>
            <w:r>
              <w:rPr>
                <w:sz w:val="19"/>
              </w:rPr>
              <w:t>*2</w:t>
            </w:r>
          </w:p>
        </w:tc>
        <w:tc>
          <w:tcPr>
            <w:tcW w:type="dxa" w:w="1872"/>
          </w:tcPr>
          <w:p>
            <w:r>
              <w:rPr>
                <w:sz w:val="19"/>
              </w:rPr>
            </w:r>
            <w:r>
              <w:rPr>
                <w:sz w:val="19"/>
              </w:rPr>
              <w:t>decreased</w:t>
            </w:r>
          </w:p>
        </w:tc>
        <w:tc>
          <w:tcPr>
            <w:tcW w:type="dxa" w:w="1872"/>
          </w:tcPr>
          <w:p>
            <w:r>
              <w:rPr>
                <w:sz w:val="19"/>
              </w:rPr>
            </w:r>
            <w:r>
              <w:rPr>
                <w:sz w:val="19"/>
              </w:rPr>
              <w:t>0.834</w:t>
            </w:r>
          </w:p>
        </w:tc>
        <w:tc>
          <w:tcPr>
            <w:tcW w:type="dxa" w:w="1872"/>
          </w:tcPr>
          <w:p>
            <w:r>
              <w:rPr>
                <w:sz w:val="19"/>
              </w:rPr>
            </w:r>
            <w:r>
              <w:rPr>
                <w:sz w:val="19"/>
              </w:rPr>
              <w:t>0.950</w:t>
            </w:r>
          </w:p>
        </w:tc>
        <w:tc>
          <w:tcPr>
            <w:tcW w:type="dxa" w:w="1872"/>
          </w:tcPr>
          <w:p>
            <w:r>
              <w:rPr>
                <w:sz w:val="19"/>
              </w:rPr>
            </w:r>
            <w:r>
              <w:rPr>
                <w:sz w:val="19"/>
              </w:rPr>
              <w:t>normal</w:t>
            </w:r>
          </w:p>
        </w:tc>
      </w:tr>
      <w:tr>
        <w:tc>
          <w:tcPr>
            <w:tcW w:type="dxa" w:w="1872"/>
          </w:tcPr>
          <w:p>
            <w:r>
              <w:rPr>
                <w:sz w:val="19"/>
              </w:rPr>
            </w:r>
            <w:r>
              <w:rPr>
                <w:sz w:val="19"/>
              </w:rPr>
              <w:t>*3</w:t>
            </w:r>
          </w:p>
        </w:tc>
        <w:tc>
          <w:tcPr>
            <w:tcW w:type="dxa" w:w="1872"/>
          </w:tcPr>
          <w:p>
            <w:r>
              <w:rPr>
                <w:sz w:val="19"/>
              </w:rPr>
            </w:r>
            <w:r>
              <w:rPr>
                <w:sz w:val="19"/>
              </w:rPr>
              <w:t>no_function</w:t>
            </w:r>
          </w:p>
        </w:tc>
        <w:tc>
          <w:tcPr>
            <w:tcW w:type="dxa" w:w="1872"/>
          </w:tcPr>
          <w:p>
            <w:r>
              <w:rPr>
                <w:sz w:val="19"/>
              </w:rPr>
            </w:r>
            <w:r>
              <w:rPr>
                <w:sz w:val="19"/>
              </w:rPr>
              <w:t>0.445</w:t>
            </w:r>
          </w:p>
        </w:tc>
        <w:tc>
          <w:tcPr>
            <w:tcW w:type="dxa" w:w="1872"/>
          </w:tcPr>
          <w:p>
            <w:r>
              <w:rPr>
                <w:sz w:val="19"/>
              </w:rPr>
            </w:r>
            <w:r>
              <w:rPr>
                <w:sz w:val="19"/>
              </w:rPr>
              <w:t>0.782</w:t>
            </w:r>
          </w:p>
        </w:tc>
        <w:tc>
          <w:tcPr>
            <w:tcW w:type="dxa" w:w="1872"/>
          </w:tcPr>
          <w:p>
            <w:r>
              <w:rPr>
                <w:sz w:val="19"/>
              </w:rPr>
            </w:r>
            <w:r>
              <w:rPr>
                <w:sz w:val="19"/>
              </w:rPr>
              <w:t>decreased</w:t>
            </w:r>
          </w:p>
        </w:tc>
      </w:tr>
      <w:tr>
        <w:tc>
          <w:tcPr>
            <w:tcW w:type="dxa" w:w="1872"/>
          </w:tcPr>
          <w:p>
            <w:r>
              <w:rPr>
                <w:sz w:val="19"/>
              </w:rPr>
            </w:r>
            <w:r>
              <w:rPr>
                <w:sz w:val="19"/>
              </w:rPr>
              <w:t>*6</w:t>
            </w:r>
          </w:p>
        </w:tc>
        <w:tc>
          <w:tcPr>
            <w:tcW w:type="dxa" w:w="1872"/>
          </w:tcPr>
          <w:p>
            <w:r>
              <w:rPr>
                <w:sz w:val="19"/>
              </w:rPr>
            </w:r>
            <w:r>
              <w:rPr>
                <w:sz w:val="19"/>
              </w:rPr>
              <w:t>no_function</w:t>
            </w:r>
          </w:p>
        </w:tc>
        <w:tc>
          <w:tcPr>
            <w:tcW w:type="dxa" w:w="1872"/>
          </w:tcPr>
          <w:p>
            <w:r>
              <w:rPr>
                <w:sz w:val="19"/>
              </w:rPr>
            </w:r>
            <w:r>
              <w:rPr>
                <w:sz w:val="19"/>
              </w:rPr>
              <w:t>0.732</w:t>
            </w:r>
          </w:p>
        </w:tc>
        <w:tc>
          <w:tcPr>
            <w:tcW w:type="dxa" w:w="1872"/>
          </w:tcPr>
          <w:p>
            <w:r>
              <w:rPr>
                <w:sz w:val="19"/>
              </w:rPr>
            </w:r>
            <w:r>
              <w:rPr>
                <w:sz w:val="19"/>
              </w:rPr>
              <w:t>0.739</w:t>
            </w:r>
          </w:p>
        </w:tc>
        <w:tc>
          <w:tcPr>
            <w:tcW w:type="dxa" w:w="1872"/>
          </w:tcPr>
          <w:p>
            <w:r>
              <w:rPr>
                <w:sz w:val="19"/>
              </w:rPr>
            </w:r>
            <w:r>
              <w:rPr>
                <w:sz w:val="19"/>
              </w:rPr>
              <w:t>normal</w:t>
            </w:r>
          </w:p>
        </w:tc>
      </w:tr>
      <w:tr>
        <w:tc>
          <w:tcPr>
            <w:tcW w:type="dxa" w:w="1872"/>
          </w:tcPr>
          <w:p>
            <w:r>
              <w:rPr>
                <w:sz w:val="19"/>
              </w:rPr>
            </w:r>
            <w:r>
              <w:rPr>
                <w:sz w:val="19"/>
              </w:rPr>
              <w:t>*11</w:t>
            </w:r>
          </w:p>
        </w:tc>
        <w:tc>
          <w:tcPr>
            <w:tcW w:type="dxa" w:w="1872"/>
          </w:tcPr>
          <w:p>
            <w:r>
              <w:rPr>
                <w:sz w:val="19"/>
              </w:rPr>
            </w:r>
            <w:r>
              <w:rPr>
                <w:sz w:val="19"/>
              </w:rPr>
              <w:t>decreased</w:t>
            </w:r>
          </w:p>
        </w:tc>
        <w:tc>
          <w:tcPr>
            <w:tcW w:type="dxa" w:w="1872"/>
          </w:tcPr>
          <w:p>
            <w:r>
              <w:rPr>
                <w:sz w:val="19"/>
              </w:rPr>
            </w:r>
            <w:r>
              <w:rPr>
                <w:sz w:val="19"/>
              </w:rPr>
              <w:t>0.108</w:t>
            </w:r>
          </w:p>
        </w:tc>
        <w:tc>
          <w:tcPr>
            <w:tcW w:type="dxa" w:w="1872"/>
          </w:tcPr>
          <w:p>
            <w:r>
              <w:rPr>
                <w:sz w:val="19"/>
              </w:rPr>
            </w:r>
            <w:r>
              <w:rPr>
                <w:sz w:val="19"/>
              </w:rPr>
              <w:t>0.244</w:t>
            </w:r>
          </w:p>
        </w:tc>
        <w:tc>
          <w:tcPr>
            <w:tcW w:type="dxa" w:w="1872"/>
          </w:tcPr>
          <w:p>
            <w:r>
              <w:rPr>
                <w:sz w:val="19"/>
              </w:rPr>
            </w:r>
            <w:r>
              <w:rPr>
                <w:sz w:val="19"/>
              </w:rPr>
              <w:t>no_function</w:t>
            </w:r>
          </w:p>
        </w:tc>
      </w:tr>
    </w:tbl>
    <w:p>
      <w:pPr>
        <w:spacing w:after="40"/>
      </w:pPr>
    </w:p>
    <w:p>
      <w:pPr>
        <w:spacing w:after="120"/>
      </w:pPr>
      <w:r>
        <w:t>In none of the four cases does the single-assay MAVE label agree with the CPIC clinical phenotype, demonstrating that single-assay MAVE labels are insufficient as a training target for CYP2C9 clinical-phenotype prediction.</w:t>
      </w:r>
    </w:p>
    <w:p>
      <w:pPr>
        <w:spacing w:after="120"/>
      </w:pPr>
      <w:r>
        <w:t>To break the circularity, a v2 model replaced the Click-seq/VAMP-seq score features with an independent signal — AlphaMissense pathogenicity (genomic-coordinate-corrected) plus CADD — while retaining only non-circular features (</w:t>
      </w:r>
      <w:r>
        <w:rPr>
          <w:rFonts w:ascii="Consolas" w:hAnsi="Consolas"/>
        </w:rPr>
        <w:t>am_genomic_score</w:t>
      </w:r>
      <w:r>
        <w:t xml:space="preserve">, </w:t>
      </w:r>
      <w:r>
        <w:rPr>
          <w:rFonts w:ascii="Consolas" w:hAnsi="Consolas"/>
        </w:rPr>
        <w:t>cadd_phred</w:t>
      </w:r>
      <w:r>
        <w:t xml:space="preserve">, </w:t>
      </w:r>
      <w:r>
        <w:rPr>
          <w:rFonts w:ascii="Consolas" w:hAnsi="Consolas"/>
        </w:rPr>
        <w:t>click_sd</w:t>
      </w:r>
      <w:r>
        <w:t xml:space="preserve">, </w:t>
      </w:r>
      <w:r>
        <w:rPr>
          <w:rFonts w:ascii="Consolas" w:hAnsi="Consolas"/>
        </w:rPr>
        <w:t>vamp_sd</w:t>
      </w:r>
      <w:r>
        <w:t xml:space="preserve">, </w:t>
      </w:r>
      <w:r>
        <w:rPr>
          <w:rFonts w:ascii="Consolas" w:hAnsi="Consolas"/>
        </w:rPr>
        <w:t>aa_position</w:t>
      </w:r>
      <w:r>
        <w:t xml:space="preserve">, </w:t>
      </w:r>
      <w:r>
        <w:rPr>
          <w:rFonts w:ascii="Consolas" w:hAnsi="Consolas"/>
        </w:rPr>
        <w:t>cyp2c9_domain</w:t>
      </w:r>
      <w:r>
        <w:t xml:space="preserve">, </w:t>
      </w:r>
      <w:r>
        <w:rPr>
          <w:rFonts w:ascii="Consolas" w:hAnsi="Consolas"/>
        </w:rPr>
        <w:t>has_both</w:t>
      </w:r>
      <w:r>
        <w:t xml:space="preserve">). AlphaMissense coverage on the MAVE library reached only </w:t>
      </w:r>
      <w:r>
        <w:rPr>
          <w:b/>
        </w:rPr>
        <w:t>31.3%</w:t>
      </w:r>
      <w:r>
        <w:t>: 67.5% of the library's variants encode multi-nucleotide amino-acid changes, which AlphaMissense scores only for single-nucleotide-reachable positions by design. No query method can exceed this ceiling for a codon-saturation library, so the intended &gt;85% coverage gate is structurally unattainable for CYP2C9 MAVE data.</w:t>
      </w:r>
    </w:p>
    <w:p>
      <w:pPr>
        <w:spacing w:after="120"/>
      </w:pPr>
      <w:r>
        <w:t>Where AlphaMissense scores are available (n = 2,520), they separate the clinical classes monotonically — the signal the MAVE scores never produced: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9"/>
              </w:rPr>
            </w:r>
            <w:r>
              <w:rPr>
                <w:b/>
                <w:color w:val="FFFFFF"/>
                <w:sz w:val="19"/>
              </w:rPr>
              <w:t>Class</w:t>
            </w:r>
          </w:p>
        </w:tc>
        <w:tc>
          <w:tcPr>
            <w:tcW w:type="dxa" w:w="3120"/>
            <w:shd w:val="clear" w:color="auto" w:fill="1F3864"/>
          </w:tcPr>
          <w:p>
            <w:r>
              <w:rPr>
                <w:b/>
                <w:color w:val="FFFFFF"/>
                <w:sz w:val="19"/>
              </w:rPr>
            </w:r>
            <w:r>
              <w:rPr>
                <w:b/>
                <w:color w:val="FFFFFF"/>
                <w:sz w:val="19"/>
              </w:rPr>
              <w:t>mean AM</w:t>
            </w:r>
          </w:p>
        </w:tc>
        <w:tc>
          <w:tcPr>
            <w:tcW w:type="dxa" w:w="3120"/>
            <w:shd w:val="clear" w:color="auto" w:fill="1F3864"/>
          </w:tcPr>
          <w:p>
            <w:r>
              <w:rPr>
                <w:b/>
                <w:color w:val="FFFFFF"/>
                <w:sz w:val="19"/>
              </w:rPr>
            </w:r>
            <w:r>
              <w:rPr>
                <w:b/>
                <w:color w:val="FFFFFF"/>
                <w:sz w:val="19"/>
              </w:rPr>
              <w:t>median AM</w:t>
            </w:r>
          </w:p>
        </w:tc>
      </w:tr>
      <w:tr>
        <w:tc>
          <w:tcPr>
            <w:tcW w:type="dxa" w:w="3120"/>
          </w:tcPr>
          <w:p>
            <w:r>
              <w:rPr>
                <w:sz w:val="19"/>
              </w:rPr>
            </w:r>
            <w:r>
              <w:rPr>
                <w:sz w:val="19"/>
              </w:rPr>
              <w:t>no_function</w:t>
            </w:r>
          </w:p>
        </w:tc>
        <w:tc>
          <w:tcPr>
            <w:tcW w:type="dxa" w:w="3120"/>
          </w:tcPr>
          <w:p>
            <w:r>
              <w:rPr>
                <w:sz w:val="19"/>
              </w:rPr>
            </w:r>
            <w:r>
              <w:rPr>
                <w:sz w:val="19"/>
              </w:rPr>
              <w:t>0.648</w:t>
            </w:r>
          </w:p>
        </w:tc>
        <w:tc>
          <w:tcPr>
            <w:tcW w:type="dxa" w:w="3120"/>
          </w:tcPr>
          <w:p>
            <w:r>
              <w:rPr>
                <w:sz w:val="19"/>
              </w:rPr>
            </w:r>
            <w:r>
              <w:rPr>
                <w:sz w:val="19"/>
              </w:rPr>
              <w:t>0.712</w:t>
            </w:r>
          </w:p>
        </w:tc>
      </w:tr>
      <w:tr>
        <w:tc>
          <w:tcPr>
            <w:tcW w:type="dxa" w:w="3120"/>
          </w:tcPr>
          <w:p>
            <w:r>
              <w:rPr>
                <w:sz w:val="19"/>
              </w:rPr>
            </w:r>
            <w:r>
              <w:rPr>
                <w:sz w:val="19"/>
              </w:rPr>
              <w:t>decreased_function</w:t>
            </w:r>
          </w:p>
        </w:tc>
        <w:tc>
          <w:tcPr>
            <w:tcW w:type="dxa" w:w="3120"/>
          </w:tcPr>
          <w:p>
            <w:r>
              <w:rPr>
                <w:sz w:val="19"/>
              </w:rPr>
            </w:r>
            <w:r>
              <w:rPr>
                <w:sz w:val="19"/>
              </w:rPr>
              <w:t>0.438</w:t>
            </w:r>
          </w:p>
        </w:tc>
        <w:tc>
          <w:tcPr>
            <w:tcW w:type="dxa" w:w="3120"/>
          </w:tcPr>
          <w:p>
            <w:r>
              <w:rPr>
                <w:sz w:val="19"/>
              </w:rPr>
            </w:r>
            <w:r>
              <w:rPr>
                <w:sz w:val="19"/>
              </w:rPr>
              <w:t>0.408</w:t>
            </w:r>
          </w:p>
        </w:tc>
      </w:tr>
      <w:tr>
        <w:tc>
          <w:tcPr>
            <w:tcW w:type="dxa" w:w="3120"/>
          </w:tcPr>
          <w:p>
            <w:r>
              <w:rPr>
                <w:sz w:val="19"/>
              </w:rPr>
            </w:r>
            <w:r>
              <w:rPr>
                <w:sz w:val="19"/>
              </w:rPr>
              <w:t>normal_function</w:t>
            </w:r>
          </w:p>
        </w:tc>
        <w:tc>
          <w:tcPr>
            <w:tcW w:type="dxa" w:w="3120"/>
          </w:tcPr>
          <w:p>
            <w:r>
              <w:rPr>
                <w:sz w:val="19"/>
              </w:rPr>
            </w:r>
            <w:r>
              <w:rPr>
                <w:sz w:val="19"/>
              </w:rPr>
              <w:t>0.213</w:t>
            </w:r>
          </w:p>
        </w:tc>
        <w:tc>
          <w:tcPr>
            <w:tcW w:type="dxa" w:w="3120"/>
          </w:tcPr>
          <w:p>
            <w:r>
              <w:rPr>
                <w:sz w:val="19"/>
              </w:rPr>
            </w:r>
            <w:r>
              <w:rPr>
                <w:sz w:val="19"/>
              </w:rPr>
              <w:t>0.149</w:t>
            </w:r>
          </w:p>
        </w:tc>
      </w:tr>
    </w:tbl>
    <w:p>
      <w:pPr>
        <w:spacing w:after="40"/>
      </w:pPr>
    </w:p>
    <w:p>
      <w:pPr>
        <w:spacing w:after="120"/>
      </w:pPr>
      <w:r>
        <w:t>AlphaMissense is thus discriminative where present; coverage, not feature quality, is the blocker.</w:t>
      </w:r>
    </w:p>
    <w:p>
      <w:pPr>
        <w:spacing w:after="120"/>
      </w:pPr>
      <w:r>
        <w:t xml:space="preserve">A v2 model was trained on the SNV-reachable subset (n = 2,514 after removing the clinical holdout) using the non-circular feature set. Removing the circular features collapsed the inflated v1 score to a believable 5-fold cross-validation AUC of ~0.88 (XGBoost 0.886). On a held-out clinical test of six CPIC-labeled alleles never seen in training, however, the model scored </w:t>
      </w:r>
      <w:r>
        <w:rPr>
          <w:b/>
        </w:rPr>
        <w:t>1/6 (17%)</w:t>
      </w:r>
      <w:r>
        <w:t xml:space="preserve"> — only *11 was predicted correctly. The bottleneck is therefore the </w:t>
      </w:r>
      <w:r>
        <w:rPr>
          <w:b/>
        </w:rPr>
        <w:t>label definition</w:t>
      </w:r>
      <w:r>
        <w:t>, not the features or the model architecture: removing circularity restores an honest cross-validation score but cannot recover clinical phenotype from labels that diverge from it.</w:t>
      </w:r>
    </w:p>
    <w:p>
      <w:pPr>
        <w:spacing w:after="120"/>
      </w:pPr>
      <w:r>
        <w:t>We conclude that MAVE functional-assay labels do not generalize to CPIC clinical phenotype for CYP2C9. No amount of independent feature engineering on MAVE-derived labels recovers clinical phenotype; the result motivates training on clinically-labeled data drawn from real genotype–phenotype cohorts (e.g. the MCC retrospective dataset) rather than functional-assay surrogates.</w:t>
      </w:r>
    </w:p>
    <w:p>
      <w:pPr>
        <w:pStyle w:val="Heading2"/>
      </w:pPr>
      <w:r>
        <w:t>3. Results</w:t>
      </w:r>
    </w:p>
    <w:p>
      <w:pPr>
        <w:pStyle w:val="Heading3"/>
      </w:pPr>
      <w:r>
        <w:t>3.1 Warfarin Dose Prediction — IWPC Cohort (n=5,700)</w:t>
      </w:r>
    </w:p>
    <w:p>
      <w:pPr>
        <w:spacing w:after="120"/>
      </w:pPr>
      <w:r>
        <w:t>To validate the engine's clinical risk stratification, we applied the Anukriti CYP2C9/VKORC1 calling pipeline to the IWPC warfarin dataset (n=5,700 patients across 9 countries). Each patient was assigned a metabolizer phenotype and mapped to a CPIC-graded dose recommendation tier (standard dose, reduced dose, high sensitivity). Risk tiers were compared against physician-prescribed stable warfarin doses without the engine having access to dose information at inference time.</w:t>
      </w:r>
    </w:p>
    <w:p>
      <w:pPr>
        <w:spacing w:after="120"/>
      </w:pPr>
      <w:r>
        <w:t>Engine-assigned risk tiers correlated significantly with prescribed dose across the cohort. Among the 3,998 patients with both a determinate risk tier and a recorded stable dose (172 lacked a dose; the remainder were assigned an indeterminate tier owing to missing genotype data and excluded from the association analysis), median prescribed warfarin dose decreased monotonically across tiers: low-sensitivity 42.5, standard 32.5, and high-sensitivity 21.0 mg/week. A Kruskal-Wallis test confirmed a significant difference in dose distribution across the three tiers (H = 1442.79, df = 2, p &lt; 0.001), and Spearman rank correlation between ordinal risk tier (low &lt; standard &lt; high sensitivity) and prescribed dose was ρ = −0.601 (95% CI −0.621 to −0.580, p &lt; 0.001; n = 3,998) — a moderate-to-strong negative association in the expected direction, i.e. higher-sensitivity tiers received lower prescribed doses, consistent with established PGx-guided dosing expectations. Of the full 5,700 patients processed, 467 (8.2%) were assigned a risk tier that would have warranted clinical action under CPIC guidelines — representing patients who may have been enrolled in a standard-dose trial arm without PGx screening. (This count was computed on anukriti-pgx-core v0.2.1; the current v0.9.0 engine, run on the same cohort, gives 459 patients — see the currency note preceding the Abstract.)</w:t>
      </w:r>
    </w:p>
    <w:p>
      <w:pPr>
        <w:spacing w:after="120"/>
      </w:pPr>
      <w:r>
        <w:t>Named refusals were issued for patients with missing genotype data or ambiguous diplotypes, consistent with refusal rules V1–V3 (missing variant data) and U1–U2 (ambiguous phasing).</w:t>
      </w:r>
    </w:p>
    <w:p>
      <w:pPr>
        <w:pStyle w:val="Heading3"/>
      </w:pPr>
      <w:r>
        <w:t>3.2 DPYD Variant Calling and 5-Fluorouracil Safety Screening</w:t>
      </w:r>
    </w:p>
    <w:p>
      <w:pPr>
        <w:spacing w:after="120"/>
      </w:pPr>
      <w:r>
        <w:t>DPYD variant calling was validated against the four CPIC Level A actionable variants: rs3918290 (*2A), rs55886062 (*13), rs67376798 (c.2846A&gt;T), and the HapB3 composite (rs56038477/rs75017182). Zygosity-based clinical action tiers were assigned deterministically: homozygous carriers of *2A or *13 were flagged for 5-fluorouracil contraindication; heterozygous carriers were assigned a 50% dose reduction recommendation, consistent with CPIC guidelines (Henricks et al. 2018, PMID 30348537).</w:t>
      </w:r>
    </w:p>
    <w:p>
      <w:pPr>
        <w:spacing w:after="120"/>
      </w:pPr>
      <w:r>
        <w:t>Indian subcontinent variants of interest — rs1801265 (*9A), rs2297595 (M166V), rs1801159 (*5), rs1801158 (*4), rs1801160 (*6) — were included in the variant panel and reported with population frequency annotations from the SAS super-population reference. ClinVar pathogenicity annotations were integrated for variants not yet assigned CPIC evidence grades, with explicit uncertainty flags applied per refusal rules R7–R9 (insufficient evidence tier).</w:t>
      </w:r>
    </w:p>
    <w:p>
      <w:pPr>
        <w:spacing w:after="120"/>
      </w:pPr>
      <w:r>
        <w:t>Clinical output was formatted for Molecular Tumour Board (MTB) submission, including variant identifier, zygosity, phenotype, CPIC recommendation, evidence grade, and provenance stamp (guideline version + PMID).</w:t>
      </w:r>
    </w:p>
    <w:p>
      <w:pPr>
        <w:pStyle w:val="Heading3"/>
      </w:pPr>
      <w:r>
        <w:t>3.3 CYP2D6 Structural Variant Benchmarking — GIAB/GeT-RM Reference Samples</w:t>
      </w:r>
    </w:p>
    <w:p>
      <w:pPr>
        <w:spacing w:after="120"/>
      </w:pPr>
      <w:r>
        <w:rPr>
          <w:b/>
        </w:rPr>
        <w:t>Concordance results: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tcPr>
          <w:p>
            <w:r>
              <w:rPr>
                <w:b/>
                <w:color w:val="FFFFFF"/>
                <w:sz w:val="19"/>
              </w:rPr>
            </w:r>
            <w:r>
              <w:rPr>
                <w:b/>
                <w:color w:val="FFFFFF"/>
                <w:sz w:val="19"/>
              </w:rPr>
              <w:t>Sample</w:t>
            </w:r>
          </w:p>
        </w:tc>
        <w:tc>
          <w:tcPr>
            <w:tcW w:type="dxa" w:w="1337"/>
            <w:shd w:val="clear" w:color="auto" w:fill="1F3864"/>
          </w:tcPr>
          <w:p>
            <w:r>
              <w:rPr>
                <w:b/>
                <w:color w:val="FFFFFF"/>
                <w:sz w:val="19"/>
              </w:rPr>
            </w:r>
            <w:r>
              <w:rPr>
                <w:b/>
                <w:color w:val="FFFFFF"/>
                <w:sz w:val="19"/>
              </w:rPr>
              <w:t>Population</w:t>
            </w:r>
          </w:p>
        </w:tc>
        <w:tc>
          <w:tcPr>
            <w:tcW w:type="dxa" w:w="1337"/>
            <w:shd w:val="clear" w:color="auto" w:fill="1F3864"/>
          </w:tcPr>
          <w:p>
            <w:r>
              <w:rPr>
                <w:b/>
                <w:color w:val="FFFFFF"/>
                <w:sz w:val="19"/>
              </w:rPr>
            </w:r>
            <w:r>
              <w:rPr>
                <w:b/>
                <w:color w:val="FFFFFF"/>
                <w:sz w:val="19"/>
              </w:rPr>
              <w:t>Reads / size</w:t>
            </w:r>
          </w:p>
        </w:tc>
        <w:tc>
          <w:tcPr>
            <w:tcW w:type="dxa" w:w="1337"/>
            <w:shd w:val="clear" w:color="auto" w:fill="1F3864"/>
          </w:tcPr>
          <w:p>
            <w:r>
              <w:rPr>
                <w:b/>
                <w:color w:val="FFFFFF"/>
                <w:sz w:val="19"/>
              </w:rPr>
            </w:r>
            <w:r>
              <w:rPr>
                <w:b/>
                <w:color w:val="FFFFFF"/>
                <w:sz w:val="19"/>
              </w:rPr>
              <w:t>StarPhase call</w:t>
            </w:r>
          </w:p>
        </w:tc>
        <w:tc>
          <w:tcPr>
            <w:tcW w:type="dxa" w:w="1337"/>
            <w:shd w:val="clear" w:color="auto" w:fill="1F3864"/>
          </w:tcPr>
          <w:p>
            <w:r>
              <w:rPr>
                <w:b/>
                <w:color w:val="FFFFFF"/>
                <w:sz w:val="19"/>
              </w:rPr>
            </w:r>
            <w:r>
              <w:rPr>
                <w:b/>
                <w:color w:val="FFFFFF"/>
                <w:sz w:val="19"/>
              </w:rPr>
              <w:t>GeT-RM truth</w:t>
            </w:r>
          </w:p>
        </w:tc>
        <w:tc>
          <w:tcPr>
            <w:tcW w:type="dxa" w:w="1337"/>
            <w:shd w:val="clear" w:color="auto" w:fill="1F3864"/>
          </w:tcPr>
          <w:p>
            <w:r>
              <w:rPr>
                <w:b/>
                <w:color w:val="FFFFFF"/>
                <w:sz w:val="19"/>
              </w:rPr>
            </w:r>
            <w:r>
              <w:rPr>
                <w:b/>
                <w:color w:val="FFFFFF"/>
                <w:sz w:val="19"/>
              </w:rPr>
              <w:t>Diplotype concordance</w:t>
            </w:r>
          </w:p>
        </w:tc>
        <w:tc>
          <w:tcPr>
            <w:tcW w:type="dxa" w:w="1337"/>
            <w:shd w:val="clear" w:color="auto" w:fill="1F3864"/>
          </w:tcPr>
          <w:p>
            <w:r>
              <w:rPr>
                <w:b/>
                <w:color w:val="FFFFFF"/>
                <w:sz w:val="19"/>
              </w:rPr>
            </w:r>
            <w:r>
              <w:rPr>
                <w:b/>
                <w:color w:val="FFFFFF"/>
                <w:sz w:val="19"/>
              </w:rPr>
              <w:t>Phenotype concordance</w:t>
            </w:r>
          </w:p>
        </w:tc>
      </w:tr>
      <w:tr>
        <w:tc>
          <w:tcPr>
            <w:tcW w:type="dxa" w:w="1337"/>
          </w:tcPr>
          <w:p>
            <w:r>
              <w:rPr>
                <w:sz w:val="19"/>
              </w:rPr>
            </w:r>
            <w:r>
              <w:rPr>
                <w:sz w:val="19"/>
              </w:rPr>
              <w:t>HG002</w:t>
            </w:r>
          </w:p>
        </w:tc>
        <w:tc>
          <w:tcPr>
            <w:tcW w:type="dxa" w:w="1337"/>
          </w:tcPr>
          <w:p>
            <w:r>
              <w:rPr>
                <w:sz w:val="19"/>
              </w:rPr>
            </w:r>
            <w:r>
              <w:rPr>
                <w:sz w:val="19"/>
              </w:rPr>
              <w:t>Ashkenazi Jewish</w:t>
            </w:r>
          </w:p>
        </w:tc>
        <w:tc>
          <w:tcPr>
            <w:tcW w:type="dxa" w:w="1337"/>
          </w:tcPr>
          <w:p>
            <w:r>
              <w:rPr>
                <w:sz w:val="19"/>
              </w:rPr>
            </w:r>
            <w:r>
              <w:rPr>
                <w:sz w:val="19"/>
              </w:rPr>
              <w:t>45 reads</w:t>
            </w:r>
          </w:p>
        </w:tc>
        <w:tc>
          <w:tcPr>
            <w:tcW w:type="dxa" w:w="1337"/>
          </w:tcPr>
          <w:p>
            <w:r>
              <w:rPr>
                <w:sz w:val="19"/>
              </w:rPr>
            </w:r>
            <w:r>
              <w:rPr>
                <w:sz w:val="19"/>
              </w:rPr>
              <w:t>*2/*4</w:t>
            </w:r>
          </w:p>
        </w:tc>
        <w:tc>
          <w:tcPr>
            <w:tcW w:type="dxa" w:w="1337"/>
          </w:tcPr>
          <w:p>
            <w:r>
              <w:rPr>
                <w:sz w:val="19"/>
              </w:rPr>
            </w:r>
            <w:r>
              <w:rPr>
                <w:sz w:val="19"/>
              </w:rPr>
              <w:t>*2.001/*4.014</w:t>
            </w:r>
          </w:p>
        </w:tc>
        <w:tc>
          <w:tcPr>
            <w:tcW w:type="dxa" w:w="1337"/>
          </w:tcPr>
          <w:p>
            <w:r>
              <w:rPr>
                <w:sz w:val="19"/>
              </w:rPr>
            </w:r>
            <w:r>
              <w:rPr>
                <w:sz w:val="19"/>
              </w:rPr>
              <w:t>✅ 1.000</w:t>
            </w:r>
          </w:p>
        </w:tc>
        <w:tc>
          <w:tcPr>
            <w:tcW w:type="dxa" w:w="1337"/>
          </w:tcPr>
          <w:p>
            <w:r>
              <w:rPr>
                <w:sz w:val="19"/>
              </w:rPr>
            </w:r>
            <w:r>
              <w:rPr>
                <w:sz w:val="19"/>
              </w:rPr>
              <w:t>✅ IM</w:t>
            </w:r>
          </w:p>
        </w:tc>
      </w:tr>
      <w:tr>
        <w:tc>
          <w:tcPr>
            <w:tcW w:type="dxa" w:w="1337"/>
          </w:tcPr>
          <w:p>
            <w:r>
              <w:rPr>
                <w:sz w:val="19"/>
              </w:rPr>
            </w:r>
            <w:r>
              <w:rPr>
                <w:sz w:val="19"/>
              </w:rPr>
              <w:t>HG001 (NA12878)</w:t>
            </w:r>
          </w:p>
        </w:tc>
        <w:tc>
          <w:tcPr>
            <w:tcW w:type="dxa" w:w="1337"/>
          </w:tcPr>
          <w:p>
            <w:r>
              <w:rPr>
                <w:sz w:val="19"/>
              </w:rPr>
            </w:r>
            <w:r>
              <w:rPr>
                <w:sz w:val="19"/>
              </w:rPr>
              <w:t>CEU (EUR)</w:t>
            </w:r>
          </w:p>
        </w:tc>
        <w:tc>
          <w:tcPr>
            <w:tcW w:type="dxa" w:w="1337"/>
          </w:tcPr>
          <w:p>
            <w:r>
              <w:rPr>
                <w:sz w:val="19"/>
              </w:rPr>
            </w:r>
            <w:r>
              <w:rPr>
                <w:sz w:val="19"/>
              </w:rPr>
              <w:t>273 reads / 1.7 MB</w:t>
            </w:r>
          </w:p>
        </w:tc>
        <w:tc>
          <w:tcPr>
            <w:tcW w:type="dxa" w:w="1337"/>
          </w:tcPr>
          <w:p>
            <w:r>
              <w:rPr>
                <w:sz w:val="19"/>
              </w:rPr>
            </w:r>
            <w:r>
              <w:rPr>
                <w:sz w:val="19"/>
              </w:rPr>
              <w:t>*3/*68+*4</w:t>
            </w:r>
          </w:p>
        </w:tc>
        <w:tc>
          <w:tcPr>
            <w:tcW w:type="dxa" w:w="1337"/>
          </w:tcPr>
          <w:p>
            <w:r>
              <w:rPr>
                <w:sz w:val="19"/>
              </w:rPr>
            </w:r>
            <w:r>
              <w:rPr>
                <w:sz w:val="19"/>
              </w:rPr>
              <w:t>*3/*68+*4</w:t>
            </w:r>
          </w:p>
        </w:tc>
        <w:tc>
          <w:tcPr>
            <w:tcW w:type="dxa" w:w="1337"/>
          </w:tcPr>
          <w:p>
            <w:r>
              <w:rPr>
                <w:sz w:val="19"/>
              </w:rPr>
            </w:r>
            <w:r>
              <w:rPr>
                <w:sz w:val="19"/>
              </w:rPr>
              <w:t>✅ 1.000</w:t>
            </w:r>
          </w:p>
        </w:tc>
        <w:tc>
          <w:tcPr>
            <w:tcW w:type="dxa" w:w="1337"/>
          </w:tcPr>
          <w:p>
            <w:r>
              <w:rPr>
                <w:sz w:val="19"/>
              </w:rPr>
            </w:r>
            <w:r>
              <w:rPr>
                <w:sz w:val="19"/>
              </w:rPr>
              <w:t>✅ PM</w:t>
            </w:r>
          </w:p>
        </w:tc>
      </w:tr>
      <w:tr>
        <w:tc>
          <w:tcPr>
            <w:tcW w:type="dxa" w:w="1337"/>
          </w:tcPr>
          <w:p>
            <w:r>
              <w:rPr>
                <w:sz w:val="19"/>
              </w:rPr>
            </w:r>
            <w:r>
              <w:rPr>
                <w:sz w:val="19"/>
              </w:rPr>
              <w:t>HG01190</w:t>
            </w:r>
          </w:p>
        </w:tc>
        <w:tc>
          <w:tcPr>
            <w:tcW w:type="dxa" w:w="1337"/>
          </w:tcPr>
          <w:p>
            <w:r>
              <w:rPr>
                <w:sz w:val="19"/>
              </w:rPr>
            </w:r>
            <w:r>
              <w:rPr>
                <w:sz w:val="19"/>
              </w:rPr>
              <w:t>SAS</w:t>
            </w:r>
          </w:p>
        </w:tc>
        <w:tc>
          <w:tcPr>
            <w:tcW w:type="dxa" w:w="1337"/>
          </w:tcPr>
          <w:p>
            <w:r>
              <w:rPr>
                <w:sz w:val="19"/>
              </w:rPr>
            </w:r>
            <w:r>
              <w:rPr>
                <w:sz w:val="19"/>
              </w:rPr>
              <w:t>373 reads</w:t>
            </w:r>
          </w:p>
        </w:tc>
        <w:tc>
          <w:tcPr>
            <w:tcW w:type="dxa" w:w="1337"/>
          </w:tcPr>
          <w:p>
            <w:r>
              <w:rPr>
                <w:sz w:val="19"/>
              </w:rPr>
            </w:r>
            <w:r>
              <w:rPr>
                <w:sz w:val="19"/>
              </w:rPr>
              <w:t>*68+*4x2/*68+*4</w:t>
            </w:r>
          </w:p>
        </w:tc>
        <w:tc>
          <w:tcPr>
            <w:tcW w:type="dxa" w:w="1337"/>
          </w:tcPr>
          <w:p>
            <w:r>
              <w:rPr>
                <w:sz w:val="19"/>
              </w:rPr>
            </w:r>
            <w:r>
              <w:rPr>
                <w:sz w:val="19"/>
              </w:rPr>
              <w:t>*68+*4/*5 → PM</w:t>
            </w:r>
          </w:p>
        </w:tc>
        <w:tc>
          <w:tcPr>
            <w:tcW w:type="dxa" w:w="1337"/>
          </w:tcPr>
          <w:p>
            <w:r>
              <w:rPr>
                <w:sz w:val="19"/>
              </w:rPr>
            </w:r>
            <w:r>
              <w:rPr>
                <w:sz w:val="19"/>
              </w:rPr>
              <w:t>✗ 0.000 (diff. SV config)</w:t>
            </w:r>
          </w:p>
        </w:tc>
        <w:tc>
          <w:tcPr>
            <w:tcW w:type="dxa" w:w="1337"/>
          </w:tcPr>
          <w:p>
            <w:r>
              <w:rPr>
                <w:sz w:val="19"/>
              </w:rPr>
            </w:r>
            <w:r>
              <w:rPr>
                <w:sz w:val="19"/>
              </w:rPr>
              <w:t>✅ PM (1.000)</w:t>
            </w:r>
          </w:p>
        </w:tc>
      </w:tr>
      <w:tr>
        <w:tc>
          <w:tcPr>
            <w:tcW w:type="dxa" w:w="1337"/>
          </w:tcPr>
          <w:p>
            <w:r>
              <w:rPr>
                <w:sz w:val="19"/>
              </w:rPr>
            </w:r>
            <w:r>
              <w:rPr>
                <w:sz w:val="19"/>
              </w:rPr>
              <w:t>*22 carrier</w:t>
            </w:r>
          </w:p>
        </w:tc>
        <w:tc>
          <w:tcPr>
            <w:tcW w:type="dxa" w:w="1337"/>
          </w:tcPr>
          <w:p>
            <w:r>
              <w:rPr>
                <w:sz w:val="19"/>
              </w:rPr>
            </w:r>
            <w:r>
              <w:rPr>
                <w:sz w:val="19"/>
              </w:rPr>
              <w:t>—</w:t>
            </w:r>
          </w:p>
        </w:tc>
        <w:tc>
          <w:tcPr>
            <w:tcW w:type="dxa" w:w="1337"/>
          </w:tcPr>
          <w:p>
            <w:r>
              <w:rPr>
                <w:sz w:val="19"/>
              </w:rPr>
            </w:r>
            <w:r>
              <w:rPr>
                <w:sz w:val="19"/>
              </w:rPr>
              <w:t>—</w:t>
            </w:r>
          </w:p>
        </w:tc>
        <w:tc>
          <w:tcPr>
            <w:tcW w:type="dxa" w:w="1337"/>
          </w:tcPr>
          <w:p>
            <w:r>
              <w:rPr>
                <w:sz w:val="19"/>
              </w:rPr>
            </w:r>
            <w:r>
              <w:rPr>
                <w:sz w:val="19"/>
              </w:rPr>
              <w:t>—</w:t>
            </w:r>
          </w:p>
        </w:tc>
        <w:tc>
          <w:tcPr>
            <w:tcW w:type="dxa" w:w="1337"/>
          </w:tcPr>
          <w:p>
            <w:r>
              <w:rPr>
                <w:sz w:val="19"/>
              </w:rPr>
            </w:r>
            <w:r>
              <w:rPr>
                <w:sz w:val="19"/>
              </w:rPr>
              <w:t>uncertain function</w:t>
            </w:r>
          </w:p>
        </w:tc>
        <w:tc>
          <w:tcPr>
            <w:tcW w:type="dxa" w:w="1337"/>
          </w:tcPr>
          <w:p>
            <w:r>
              <w:rPr>
                <w:sz w:val="19"/>
              </w:rPr>
            </w:r>
            <w:r>
              <w:rPr>
                <w:sz w:val="19"/>
              </w:rPr>
              <w:t>REFUSED (U4)</w:t>
            </w:r>
          </w:p>
        </w:tc>
        <w:tc>
          <w:tcPr>
            <w:tcW w:type="dxa" w:w="1337"/>
          </w:tcPr>
          <w:p>
            <w:r>
              <w:rPr>
                <w:sz w:val="19"/>
              </w:rPr>
            </w:r>
            <w:r>
              <w:rPr>
                <w:sz w:val="19"/>
              </w:rPr>
              <w:t>named refusal ✅</w:t>
            </w:r>
          </w:p>
        </w:tc>
      </w:tr>
      <w:tr>
        <w:tc>
          <w:tcPr>
            <w:tcW w:type="dxa" w:w="1337"/>
          </w:tcPr>
          <w:p>
            <w:r>
              <w:rPr>
                <w:sz w:val="19"/>
              </w:rPr>
            </w:r>
            <w:r>
              <w:rPr>
                <w:sz w:val="19"/>
              </w:rPr>
              <w:t>HG005 (NA24631)</w:t>
            </w:r>
          </w:p>
        </w:tc>
        <w:tc>
          <w:tcPr>
            <w:tcW w:type="dxa" w:w="1337"/>
          </w:tcPr>
          <w:p>
            <w:r>
              <w:rPr>
                <w:sz w:val="19"/>
              </w:rPr>
            </w:r>
            <w:r>
              <w:rPr>
                <w:sz w:val="19"/>
              </w:rPr>
              <w:t>Chinese</w:t>
            </w:r>
          </w:p>
        </w:tc>
        <w:tc>
          <w:tcPr>
            <w:tcW w:type="dxa" w:w="1337"/>
          </w:tcPr>
          <w:p>
            <w:r>
              <w:rPr>
                <w:sz w:val="19"/>
              </w:rPr>
            </w:r>
            <w:r>
              <w:rPr>
                <w:sz w:val="19"/>
              </w:rPr>
              <w:t>—</w:t>
            </w:r>
          </w:p>
        </w:tc>
        <w:tc>
          <w:tcPr>
            <w:tcW w:type="dxa" w:w="1337"/>
          </w:tcPr>
          <w:p>
            <w:r>
              <w:rPr>
                <w:sz w:val="19"/>
              </w:rPr>
            </w:r>
            <w:r>
              <w:rPr>
                <w:sz w:val="19"/>
              </w:rPr>
              <w:t>not scored</w:t>
            </w:r>
          </w:p>
        </w:tc>
        <w:tc>
          <w:tcPr>
            <w:tcW w:type="dxa" w:w="1337"/>
          </w:tcPr>
          <w:p>
            <w:r>
              <w:rPr>
                <w:sz w:val="19"/>
              </w:rPr>
            </w:r>
            <w:r>
              <w:rPr>
                <w:sz w:val="19"/>
              </w:rPr>
              <w:t>no GeT-RM consensus</w:t>
            </w:r>
          </w:p>
        </w:tc>
        <w:tc>
          <w:tcPr>
            <w:tcW w:type="dxa" w:w="1337"/>
          </w:tcPr>
          <w:p>
            <w:r>
              <w:rPr>
                <w:sz w:val="19"/>
              </w:rPr>
            </w:r>
            <w:r>
              <w:rPr>
                <w:sz w:val="19"/>
              </w:rPr>
              <w:t>excluded</w:t>
            </w:r>
          </w:p>
        </w:tc>
        <w:tc>
          <w:tcPr>
            <w:tcW w:type="dxa" w:w="1337"/>
          </w:tcPr>
          <w:p>
            <w:r>
              <w:rPr>
                <w:sz w:val="19"/>
              </w:rPr>
            </w:r>
            <w:r>
              <w:rPr>
                <w:sz w:val="19"/>
              </w:rPr>
              <w:t>excluded</w:t>
            </w:r>
          </w:p>
        </w:tc>
      </w:tr>
    </w:tbl>
    <w:p>
      <w:pPr>
        <w:spacing w:after="40"/>
      </w:pPr>
    </w:p>
    <w:p>
      <w:pPr>
        <w:spacing w:after="120"/>
      </w:pPr>
      <w:r>
        <w:rPr>
          <w:b/>
        </w:rPr>
        <w:t>Overall (3 scored samples): phenotype concordance 1.000; diplotype concordance 0.667 (2/3)</w:t>
      </w:r>
    </w:p>
    <w:p>
      <w:pPr>
        <w:spacing w:after="120"/>
      </w:pPr>
      <w:r>
        <w:t>(HG002 + HG001 match diplotype + phenotype; HG01190 matches phenotype (PM) but StarPhase resolved a different all-no-function SV configuration than the GeT-RM diplotype. *22 refusal correct by design; HG005 excluded — no GeT-RM consensus.)</w:t>
      </w:r>
    </w:p>
    <w:p>
      <w:pPr>
        <w:spacing w:after="120"/>
      </w:pPr>
      <w:r>
        <w:t>The most significant result is HG001 (NA12878). This sample carries a hybrid-tandem structural variant diplotype (*3/*68+*4) — a configuration that the legacy short-read heuristic scored at 0.333 (SV-blind, calling *1/*1 Normal Metabolizer). StarPhase called the full SV diplotype correctly, resolving to Poor Metabolizer, matching the authoritative Gaedigk et al. 2019 GeT-RM truth. The locus slice was retrieved in 15 seconds (273 reads, 1.7 MB); StarPhase and scoring ran in minutes. This demonstrates that hybrid-tandem SV cases — the class most likely to fail short-read callers — are handled correctly by the StarPhase → normalize → ingest chain.</w:t>
      </w:r>
    </w:p>
    <w:p>
      <w:pPr>
        <w:spacing w:after="120"/>
      </w:pPr>
      <w:r>
        <w:t>A pre-existing SV-blind truth entry for NA12878 (*1/*1, Normal Metabolizer) was identified and removed from the truth set during this analysis; the replacement with the authoritative SV diplotype is documented in commit 765a43d. HG005 was excluded after a full scan of Gaedigk et al. 2019 Tables 3 and 4 confirmed no GeT-RM CYP2D6 consensus for NA24631.</w:t>
      </w:r>
    </w:p>
    <w:p>
      <w:pPr>
        <w:spacing w:after="120"/>
      </w:pPr>
      <w:r>
        <w:t xml:space="preserve">The South Asian equity cell (HG01190) was completed on a dedicated Azure genomics VM (Standard_D16s_v5, Ubuntu 22.04): the ENA FASTQ (SRR25583344, ~7.6 GB) was aligned whole-genome to GRCh38 with minimap2 (-ax map-ont), the CYP2D6 locus sliced (373 reads), and StarPhase run. StarPhase called *68+*4x2/*68+*4 — a tandem-duplication configuration of two all-no-function alleles — resolving to </w:t>
      </w:r>
      <w:r>
        <w:rPr>
          <w:b/>
        </w:rPr>
        <w:t>Poor Metabolizer</w:t>
      </w:r>
      <w:r>
        <w:t xml:space="preserve">, which </w:t>
      </w:r>
      <w:r>
        <w:rPr>
          <w:b/>
        </w:rPr>
        <w:t>matches the GeT-RM phenotype</w:t>
      </w:r>
      <w:r>
        <w:t xml:space="preserve"> (truth *68+*4/*5 → PM). The two diplotypes disagree at the structural level (StarPhase placed the *68+*4 hybrid-tandem on both haplotypes rather than opposite a *5 deletion), so diplotype concordance for this sample is 0.000 while phenotype concordance is 1.000. Because all constituent alleles in both the called and the truth diplotype are no-function (*68 = 0, *4 = 0, *5 = 0), the clinically actionable output — Poor Metabolizer, warranting CYP2D6-substrate avoidance — is identical. This is an honest and instructive result: for the equity-critical SAS sample, automated SV diplotyping reached the correct clinical phenotype but not the exact structural call, underscoring that phenotype-level concordance and diplotype-level concordance are distinct metrics and that the former is the clinically decisive one. It also flags structural-call divergence on complex hybrid-tandem/deletion configurations as a target for caller refinement and orthogonal confirmation.</w:t>
      </w:r>
    </w:p>
    <w:p>
      <w:pPr>
        <w:pStyle w:val="Heading2"/>
      </w:pPr>
      <w:r>
        <w:t>4. Discussion</w:t>
      </w:r>
    </w:p>
    <w:p>
      <w:pPr>
        <w:pStyle w:val="Heading3"/>
      </w:pPr>
      <w:r>
        <w:t>4.1 Deterministic Infrastructure as a Regulatory Primitive</w:t>
      </w:r>
    </w:p>
    <w:p>
      <w:pPr>
        <w:spacing w:after="120"/>
      </w:pPr>
      <w:r>
        <w:t>The results demonstrate that pharmacogenomics screening can be implemented deterministically — without probabilistic inference — across three clinically distinct gene-drug pairs, while maintaining full auditability at the variant, diplotype, phenotype, and recommendation layers. Each output produced by the Anukriti engine traces to a versioned CPIC guideline, a PharmVar allele definition, and a population frequency source, satisfying the provenance requirements of 21 CFR Part 11 audit trails and FHIR R5 clinical data exchange standards.</w:t>
      </w:r>
    </w:p>
    <w:p>
      <w:pPr>
        <w:spacing w:after="120"/>
      </w:pPr>
      <w:r>
        <w:t>This stands in contrast to ML-augmented PGx platforms, which offer flexible input handling at the cost of output reproducibility. For clinical trial use — where a sponsor must be able to defend every enrollment decision to a regulator — deterministic infrastructure is not a design preference but a compliance requirement. The named refusal taxonomy (31 rules across R, V, and U series) formalizes the boundary between actionable evidence and insufficient evidence, a distinction that probabilistic systems cannot make cleanly.</w:t>
      </w:r>
    </w:p>
    <w:p>
      <w:pPr>
        <w:pStyle w:val="Heading3"/>
      </w:pPr>
      <w:r>
        <w:t>4.2 Hybrid-Tandem SV Resolution as a Clinical Safety Requirement</w:t>
      </w:r>
    </w:p>
    <w:p>
      <w:pPr>
        <w:spacing w:after="120"/>
      </w:pPr>
      <w:r>
        <w:t>The HG001 result warrants specific discussion. NA12878 is one of the most widely used reference samples in genomics, and its CYP2D6 genotype (*3/*68+*4) represents a class of hybrid-tandem structural variant that is systematically miscalled by short-read heuristic approaches. A tool that calls NA12878 as *1/*1 Normal Metabolizer — the SV-blind answer — would classify this patient as requiring no dose adjustment, when in fact the correct phenotype is Poor Metabolizer, warranting significant drug avoidance or dose reduction for CYP2D6-substrate drugs.</w:t>
      </w:r>
    </w:p>
    <w:p>
      <w:pPr>
        <w:spacing w:after="120"/>
      </w:pPr>
      <w:r>
        <w:t>This is not a theoretical failure mode. Short-read WGS pipelines without dedicated SV callers, and legacy heuristic engines without star-allele-aware normalization, will systematically produce this error on SV-containing samples. The StarPhase → normalize → ingest chain resolves it correctly. In a pre-trial screening context, the difference between Normal Metabolizer and Poor Metabolizer for a CYP2D6 substrate drug (codeine, tramadol, tamoxifen) is the difference between enrolling and not enrolling a patient at elevated toxicity risk.</w:t>
      </w:r>
    </w:p>
    <w:p>
      <w:pPr>
        <w:pStyle w:val="Heading3"/>
      </w:pPr>
      <w:r>
        <w:t>4.3 Population Equity as a First-Class Design Constraint</w:t>
      </w:r>
    </w:p>
    <w:p>
      <w:pPr>
        <w:spacing w:after="120"/>
      </w:pPr>
      <w:r>
        <w:t>The inclusion of HG01190 (South Asian ancestry) as an explicit validation cell reflects a deliberate design principle: population representativeness is not a post-hoc audit but an input constraint. The SAS super-population covers approximately 1.9 billion people — the largest single ancestry group on Earth — yet remains systematically underrepresented in published PGx validation studies. The DPYD variant panel presented here includes five Indian subcontinent variants not covered by the standard four-variant CPIC panel, each with SAS-specific population frequency annotations.</w:t>
      </w:r>
    </w:p>
    <w:p>
      <w:pPr>
        <w:spacing w:after="120"/>
      </w:pPr>
      <w:r>
        <w:t>The Eurocentric bias in existing PGx infrastructure has direct clinical consequences. A tool validated only on EUR ancestry samples will systematically misclassify SAS patients — either over-flagging benign variants as pathogenic or, more dangerously, missing population-enriched risk variants entirely. Anukriti addresses this by treating ancestry as a closed enum input — one of five CPIC super-populations with sub-population granularity — rather than optional metadata.</w:t>
      </w:r>
    </w:p>
    <w:p>
      <w:pPr>
        <w:pStyle w:val="Heading3"/>
      </w:pPr>
      <w:r>
        <w:t>4.4 Honest Refusals as a Clinical Safety Feature</w:t>
      </w:r>
    </w:p>
    <w:p>
      <w:pPr>
        <w:spacing w:after="120"/>
      </w:pPr>
      <w:r>
        <w:t>The named refusal on the *22 uncertain-function allele (rule U4) illustrates a core design principle: the engine will not fabricate clinical certainty. Assigning *22 an activity score would require inference beyond the evidence; the named refusal communicates this explicitly — the variant was detected, the evidence is insufficient, and the rule governing that refusal is documented and version-controlled.</w:t>
      </w:r>
    </w:p>
    <w:p>
      <w:pPr>
        <w:spacing w:after="120"/>
      </w:pPr>
      <w:r>
        <w:t>This contrasts with tools that default uncertain cases to a normal metabolizer assumption — a practice that creates the appearance of completeness at the cost of patient safety. In a pre-trial screening context, a false normal is more dangerous than a flagged uncertainty.</w:t>
      </w:r>
    </w:p>
    <w:p>
      <w:pPr>
        <w:pStyle w:val="Heading3"/>
      </w:pPr>
      <w:r>
        <w:t>4.5 Two-Tier Inference for Novel Population-Discovery Variants</w:t>
      </w:r>
    </w:p>
    <w:p>
      <w:pPr>
        <w:spacing w:after="120"/>
      </w:pPr>
      <w:r>
        <w:t>Extending the DPYD layer to the novel-variant tail surfaced a finding that shaped the architecture rather than merely the model. The functional classifier (§2.8) reached a decreased_function F1 of 0.66 (XGBoost) on cross-validation once functional-assay and allele-activity data were added — a usable signal for variants that carry clinical labels or measured activity. However, when applied to the 25 Indian-cohort variants (Scaria et al. 2025), none changed class from the prior model: all were assigned no_function with high confidence. Diagnosis of the trained models showed why. The features carrying the most weight were clinical-significance and measured-activity terms — precisely the features that are *absent* (sentinel-valued) for newly discovered variants with no ClinVar entry and no functional assay. AlphaMissense, though correctly annotated and learned as a feature (its importance moved from zero to non-zero once back-annotated onto the training set), carried too little relative weight to override the sentinel-dominated prediction. The classifier is, in effect, calibrated to the variants it was trained on: those with clinical annotation.</w:t>
      </w:r>
    </w:p>
    <w:p>
      <w:pPr>
        <w:spacing w:after="120"/>
      </w:pPr>
      <w:r>
        <w:t>The honest reading of this result is not that the classifier failed, but that a single feature set spanning two distinct evidence regimes is the wrong tool. We tested this directly. Removing the clinical-significance, measured-activity, and allele-frequency proxies and retraining on the seven protein-level features alone (§2.8, the protein-only model) inverted the behaviour on the novel-variant tail: of the 25 Scaria variants, 13 changed class relative to the mixed-feature model, splitting into 13 decreased_function and 12 no_function predictions rather than a uniform no_function default. The sentinel-dominance pathology was thereby resolved — with the clinical proxies removed, the model could only decide from protein-level evidence, and AlphaMissense, CADD, the consequence ordinal, residue position, and domain became the operative features (in the best protein-only model, no single clinical proxy remained available to dominate). The discrimination is biologically coherent at the boundary: among the variants the protein-only model now ranks highest for loss of function are c.596G&gt;A (AlphaMissense 0.93) and c.581G&gt;T (AlphaMissense 0.97), both high-impact missense substitutions in a conserved domain, whereas low-AlphaMissense missense variants and the non-scored splice/intronic variants are no longer swept into the same bucket.</w:t>
      </w:r>
    </w:p>
    <w:p>
      <w:pPr>
        <w:spacing w:after="120"/>
      </w:pPr>
      <w:r>
        <w:t>This gain is not free, and the cross-validation makes the trade-off explicit. On the labeled set — variants that *do* carry clinical annotation — the protein-only model is substantially weaker than the mixed-feature model: overall accuracy fell from ≈0.90 to ≈0.73 and decreased_function F1 fell from 0.66 to 0.11–0.25 across the three algorithms. This is the expected mirror image of the diagnosis: the clinical-significance and activity features that the protein-only model discards were precisely the features carrying in-distribution accuracy. Neither model is uniformly better; each is calibrated to a different regime.</w:t>
      </w:r>
    </w:p>
    <w:p>
      <w:pPr>
        <w:spacing w:after="120"/>
      </w:pPr>
      <w:r>
        <w:t xml:space="preserve">We therefore adopt a </w:t>
      </w:r>
      <w:r>
        <w:rPr>
          <w:b/>
        </w:rPr>
        <w:t>two-tier inference</w:t>
      </w:r>
      <w:r>
        <w:t xml:space="preserve"> architecture, now grounded in two complementary experimental results rather than one negative finding. The deterministic engine (§2.6) remains the source of truth for any CPIC-assigned variant. For the residual tail, tier selection follows the evidence available for the variant. Where a variant carries clinical labels or measured activity — the regime it was trained for — the mixed-feature classifier applies (decreased_function F1 = 0.66). Where a variant is a genuine novel population-discovery call lacking both — exactly the regime that population-specific sequencing produces, and the one most relevant to ancestry-equity — protein-level evidence is decisive: either the protein-only classifier, which discriminates this tail (13/25 reclassified away from the sentinel default) at the cost of in-distribution accuracy it does not need there, or, for the simplest reading, the raw AlphaMissense pathogenicity score used directly. The protein-only classifier (v4) is preferred when class discrimination between decreased_function and no_function is required; raw AlphaMissense score is sufficient when the clinical question is simply pathogenicity versus benign. The two confirmed-pathogenic Scaria variants illustrate the boundary: c.704G&gt;A (missense) carries AlphaMissense 0.93, well above the published likely-pathogenic threshold (0.564) and directly actionable; c.1970delC, a frameshift, has no AlphaMissense score by construction, and is correctly handled by the deterministic loss-of-function logic rather than either probabilistic tool. This separation keeps each method within the evidence regime where it is valid — and the protein-only experiment confirms that the regimes are genuinely distinct, not an artefact of model capacity — consistent with the platform's broader refusal to manufacture certainty where the data do not support it.</w:t>
      </w:r>
    </w:p>
    <w:p>
      <w:pPr>
        <w:pStyle w:val="Heading3"/>
      </w:pPr>
      <w:r>
        <w:t>4.6 Limitations and Future Directions</w:t>
      </w:r>
    </w:p>
    <w:p>
      <w:pPr>
        <w:spacing w:after="120"/>
      </w:pPr>
      <w:r>
        <w:t>The CYP2D6 SV benchmarking now covers three scored samples (HG002, HG001, and the SAS cell HG01190). HG01190 reached the correct Poor Metabolizer phenotype but diverged from the GeT-RM consensus at the structural-diplotype level (a functionally-equivalent all-no-function configuration); confirming the exact structural call would require orthogonal long-range validation. The two structural-variant truth samples that would extend the table to African and East Asian ancestry — AFR: NA19317 (*5/*5 → Poor Metabolizer) and EAS: NA18545 (*5/*36x2+*10x2 → Intermediate Metabolizer), both gene-deletion/hybrid genotypes from Gaedigk et al. 2019 — have no usable public whole-genome long-read data available. The only ENA ONT/PacBio runs located for them are an empty PromethION run (NA19317, 17 reads) and a low-coverage whole-genome-amplified PacBio run (NA18545, ~0.04× genome), neither of which yields CYP2D6 locus coverage. We further verified that neither sample is included in the Human Pangenome Reference Consortium (HPRC) Release 2 long-read cohort (232 diverse 1000 Genomes individuals, each with ~60× PacBio HiFi and ~30× Oxford Nanopore): cross-referencing the full HPRC sequencing index against the GeT-RM CYP2D6 truth set, only one non-European truth sample overlaps the cohort (NA18959, EAS, *1/*1 → Normal Metabolizer), and it is a non-structural-variant genotype that does not exercise the SV-resolution capability under evaluation. Consequently, the AFR and EAS structural-variant cells remain a genuine gap in the cross-ancestry SV concordance table — not a deferred rerun of the present pipeline, but a limitation imposed by the absence of suitable public long-read reference data for these specific structural-variant truth samples. Closing them would require either a future public long-read release covering NA19317/NA18545, or the adoption of alternative AFR/EAS samples that carry both an independently published CYP2D6 structural-variant truth call and accessible whole-genome long-read data. The IWPC warfarin cohort, while large (n=5,700), is skewed toward European and East Asian ancestry; SAS representation is limited. Population frequency data for genes beyond CYP2D6 and CYP2C19 remain to be populated from IndiGen and gnomAD SAS subsets.</w:t>
      </w:r>
    </w:p>
    <w:p>
      <w:pPr>
        <w:spacing w:after="120"/>
      </w:pPr>
      <w:r>
        <w:t>Future work will expand the gene panel to 25+ drugs optimized for South Asian populations, integrate ClinVar pathogenicity tiers for variants below CPIC evidence grade, validate the MTB-ready output format in a prospective clinical setting at Malabar Cancer Centre, and extend the cross-ancestry concordance table to African and East Asian structural-variant cells as suitable public long-read reference data for those samples becomes available.</w:t>
      </w:r>
    </w:p>
    <w:p>
      <w:pPr>
        <w:pStyle w:val="Heading2"/>
      </w:pPr>
      <w:r>
        <w:t>References</w:t>
      </w:r>
    </w:p>
    <w:p>
      <w:pPr>
        <w:pStyle w:val="ListNumber"/>
      </w:pPr>
      <w:r>
        <w:t xml:space="preserve">Turner AJ et al. PharmVar Tutorial on CYP2D6 Structural Variation Testing and Recommendations on Reporting. </w:t>
      </w:r>
      <w:r>
        <w:rPr>
          <w:i/>
        </w:rPr>
        <w:t>Clin Pharmacol Ther.</w:t>
      </w:r>
      <w:r>
        <w:t xml:space="preserve"> 2023;114(6):1220-1237. PMID 37669183. [corrected — was listed as Pharmacogenomics J]</w:t>
      </w:r>
    </w:p>
    <w:p>
      <w:pPr>
        <w:pStyle w:val="ListNumber"/>
      </w:pPr>
      <w:r>
        <w:t xml:space="preserve">Henricks LM et al. DPYD genotype-guided dose individualisation of fluoropyrimidine therapy in patients with cancer: a prospective safety analysis. </w:t>
      </w:r>
      <w:r>
        <w:rPr>
          <w:i/>
        </w:rPr>
        <w:t>Lancet Oncol.</w:t>
      </w:r>
      <w:r>
        <w:t xml:space="preserve"> 2018;19(11):1459-1467. PMID 30348537. [corrected — 29152729 in the earlier draft is the CPIC DPYD guideline paper, not this study]</w:t>
      </w:r>
    </w:p>
    <w:p>
      <w:pPr>
        <w:pStyle w:val="ListNumber"/>
      </w:pPr>
      <w:r>
        <w:t xml:space="preserve">Holt JM et al. StarPhase: a diplotyper for pharmacogenomic genes. </w:t>
      </w:r>
      <w:r>
        <w:rPr>
          <w:i/>
        </w:rPr>
        <w:t>bioRxiv.</w:t>
      </w:r>
      <w:r>
        <w:t xml:space="preserve"> 2024.</w:t>
      </w:r>
    </w:p>
    <w:p>
      <w:pPr>
        <w:pStyle w:val="ListNumber"/>
      </w:pPr>
      <w:r>
        <w:t xml:space="preserve">Deserranno K et al. Benchmarking long-read CYP2D6 structural variant calling. </w:t>
      </w:r>
      <w:r>
        <w:rPr>
          <w:i/>
        </w:rPr>
        <w:t>Front Pharmacol.</w:t>
      </w:r>
      <w:r>
        <w:t xml:space="preserve"> 2025.</w:t>
      </w:r>
    </w:p>
    <w:p>
      <w:pPr>
        <w:pStyle w:val="ListNumber"/>
      </w:pPr>
      <w:r>
        <w:t xml:space="preserve">Gan W et al. Targeted adaptive sampling for pharmacogenomic gene panels. </w:t>
      </w:r>
      <w:r>
        <w:rPr>
          <w:i/>
        </w:rPr>
        <w:t>medRxiv.</w:t>
      </w:r>
      <w:r>
        <w:t xml:space="preserve"> 2025.</w:t>
      </w:r>
    </w:p>
    <w:p>
      <w:pPr>
        <w:pStyle w:val="ListNumber"/>
      </w:pPr>
      <w:r>
        <w:t xml:space="preserve">Gaedigk A et al. Characterization of Reference Materials for Genetic Testing of CYP2D6 Alleles: A GeT-RM Collaborative Project. </w:t>
      </w:r>
      <w:r>
        <w:rPr>
          <w:i/>
        </w:rPr>
        <w:t>J Mol Diagn.</w:t>
      </w:r>
      <w:r>
        <w:t xml:space="preserve"> 2019;21(6):1034-1052. PMID 31401124. [corrected — was listed as PMID 29134954; this is the GeT-RM CYP2D6 consensus, Table 3]</w:t>
      </w:r>
    </w:p>
    <w:p>
      <w:pPr>
        <w:pStyle w:val="ListNumber"/>
      </w:pPr>
      <w:r>
        <w:t xml:space="preserve">The International Warfarin Pharmacogenomics Consortium. Estimation of the warfarin dose with clinical and pharmacogenomic data. </w:t>
      </w:r>
      <w:r>
        <w:rPr>
          <w:i/>
        </w:rPr>
        <w:t>NEJM.</w:t>
      </w:r>
      <w:r>
        <w:t xml:space="preserve"> 2009. PMID 19228618.</w:t>
      </w:r>
    </w:p>
    <w:p>
      <w:pPr>
        <w:pStyle w:val="ListNumber"/>
      </w:pPr>
      <w:r>
        <w:t>CPIC Guidelines. cpicpgx.org. Accessed June 2026.</w:t>
      </w:r>
    </w:p>
    <w:p>
      <w:pPr>
        <w:pStyle w:val="ListNumber"/>
      </w:pPr>
      <w:r>
        <w:t>PharmVar. pharmvar.org. Accessed June 2026.</w:t>
      </w:r>
    </w:p>
    <w:p>
      <w:pPr>
        <w:pStyle w:val="Heading2"/>
      </w:pPr>
      <w:r>
        <w:t>Acknowledgements</w:t>
      </w:r>
    </w:p>
    <w:p>
      <w:pPr>
        <w:spacing w:after="120"/>
      </w:pPr>
      <w:r>
        <w:t>The authors thank Dr. Deepak Roshan V G (Malabar Cancer Centre) for clinical input on DPYD oncology workflows and MTB output requirements, Andrea Gaedigk (Children's Mercy Kansas City / PharmVar) and Andrew Somogyi (IUPHAR) for expert guidance on pharmacogenomics nomenclature standards, and the GIAB consortium for public release of reference sample datasets. NA12878 GeT-RM truth data was sourced from Gaedigk et al. 2019 Table 3.</w:t>
      </w:r>
    </w:p>
    <w:p>
      <w:pPr>
        <w:pStyle w:val="Heading2"/>
      </w:pPr>
      <w:r>
        <w:t>Appendix A — Data Availability and Reproducibility</w:t>
      </w:r>
    </w:p>
    <w:p>
      <w:pPr>
        <w:pStyle w:val="ListBullet"/>
      </w:pPr>
      <w:r>
        <w:t xml:space="preserve">anukriti-pgx-core: https://pypi.org/project/anukriti-pgx-core/ — </w:t>
      </w:r>
      <w:r>
        <w:rPr>
          <w:b/>
        </w:rPr>
        <w:t>v0.6.0</w:t>
      </w:r>
      <w:r>
        <w:t xml:space="preserve"> was the version validated in this manuscript (CYP2D6 SV ingestion + DPYD clinical-action tier; v0.2.1 in the earlier draft was incorrect). The package has since advanced to </w:t>
      </w:r>
      <w:r>
        <w:rPr>
          <w:b/>
        </w:rPr>
        <w:t>v0.9.0</w:t>
      </w:r>
      <w:r>
        <w:t xml:space="preserve"> (DPYD causal/tag rsID separation, NUDT15 support, regenerated TPMT tables, 14 genes total); see the currency note after the title block for what changed and why it does not alter the results reported here.</w:t>
      </w:r>
    </w:p>
    <w:p>
      <w:pPr>
        <w:pStyle w:val="ListBullet"/>
      </w:pPr>
      <w:r>
        <w:t xml:space="preserve">Production API: https://anukriti-api.agreeablegrass-25e88475.eastus.azurecontainerapps.io (Azure Container Apps, rev 0000032; </w:t>
      </w:r>
      <w:r>
        <w:rPr>
          <w:rFonts w:ascii="Consolas" w:hAnsi="Consolas"/>
        </w:rPr>
        <w:t>POST /cyp2d6/sv-ingest</w:t>
      </w:r>
      <w:r>
        <w:t xml:space="preserve"> live). Frontend: https://product.anukritiai.com (Vercel)</w:t>
      </w:r>
    </w:p>
    <w:p>
      <w:pPr>
        <w:pStyle w:val="ListBullet"/>
      </w:pPr>
      <w:r>
        <w:t xml:space="preserve">GIAB long-read region slicer: </w:t>
      </w:r>
      <w:r>
        <w:rPr>
          <w:rFonts w:ascii="Consolas" w:hAnsi="Consolas"/>
        </w:rPr>
        <w:t>fetch_giab_cyp2d6_longread.py</w:t>
      </w:r>
      <w:r>
        <w:t xml:space="preserve"> (commit d34ed48)</w:t>
      </w:r>
    </w:p>
    <w:p>
      <w:pPr>
        <w:pStyle w:val="ListBullet"/>
      </w:pPr>
      <w:r>
        <w:t xml:space="preserve">ENA FASTQ alignment runner: </w:t>
      </w:r>
      <w:r>
        <w:rPr>
          <w:rFonts w:ascii="Consolas" w:hAnsi="Consolas"/>
        </w:rPr>
        <w:t>scripts/fetch_ena_cyp2d6_longread.sh</w:t>
      </w:r>
      <w:r>
        <w:t xml:space="preserve"> (HG01190, SRR25583344, minimap2 -ax map-ont)</w:t>
      </w:r>
    </w:p>
    <w:p>
      <w:pPr>
        <w:pStyle w:val="ListBullet"/>
      </w:pPr>
      <w:r>
        <w:t xml:space="preserve">StarPhase setup procedure: </w:t>
      </w:r>
      <w:r>
        <w:rPr>
          <w:rFonts w:ascii="Consolas" w:hAnsi="Consolas"/>
        </w:rPr>
        <w:t>STARPHASE_SETUP.md</w:t>
      </w:r>
      <w:r>
        <w:t xml:space="preserve"> (commit 13c1e29, anukriti_docs repo)</w:t>
      </w:r>
    </w:p>
    <w:p>
      <w:pPr>
        <w:pStyle w:val="ListBullet"/>
      </w:pPr>
      <w:r>
        <w:t xml:space="preserve">StarPhase runner + scorer: </w:t>
      </w:r>
      <w:r>
        <w:rPr>
          <w:rFonts w:ascii="Consolas" w:hAnsi="Consolas"/>
        </w:rPr>
        <w:t>cyp2d6_starphase_runner.py</w:t>
      </w:r>
      <w:r>
        <w:t xml:space="preserve"> (commit a35e4b2)</w:t>
      </w:r>
    </w:p>
    <w:p>
      <w:pPr>
        <w:pStyle w:val="ListBullet"/>
      </w:pPr>
      <w:r>
        <w:t>StarPhase version: 1.4.2 | Reference DB: pbstarphase_20250515.json.gz (prebuilt, v1.4.0)</w:t>
      </w:r>
    </w:p>
    <w:p>
      <w:pPr>
        <w:pStyle w:val="ListBullet"/>
      </w:pPr>
      <w:r>
        <w:t xml:space="preserve">Archived validation artifacts (BAM slices, StarPhase JSON calls, score files, pinned reference DB): Azure Blob Storage container </w:t>
      </w:r>
      <w:r>
        <w:rPr>
          <w:rFonts w:ascii="Consolas" w:hAnsi="Consolas"/>
        </w:rPr>
        <w:t>giab-cyp2d6-artifacts</w:t>
      </w:r>
      <w:r>
        <w:t xml:space="preserve"> (account </w:t>
      </w:r>
      <w:r>
        <w:rPr>
          <w:rFonts w:ascii="Consolas" w:hAnsi="Consolas"/>
        </w:rPr>
        <w:t>anukritilrs79730</w:t>
      </w:r>
      <w:r>
        <w:t xml:space="preserve">, RG </w:t>
      </w:r>
      <w:r>
        <w:rPr>
          <w:rFonts w:ascii="Consolas" w:hAnsi="Consolas"/>
        </w:rPr>
        <w:t>anukriti-lrs-01</w:t>
      </w:r>
      <w:r>
        <w:t xml:space="preserve">, </w:t>
      </w:r>
      <w:r>
        <w:rPr>
          <w:rFonts w:ascii="Consolas" w:hAnsi="Consolas"/>
        </w:rPr>
        <w:t>centralindia</w:t>
      </w:r>
      <w:r>
        <w:t xml:space="preserve">), base URL </w:t>
      </w:r>
      <w:r>
        <w:rPr>
          <w:rFonts w:ascii="Consolas" w:hAnsi="Consolas"/>
        </w:rPr>
        <w:t>https://anukritilrs79730.blob.core.windows.net/giab-cyp2d6-artifacts/</w:t>
      </w:r>
      <w:r>
        <w:t xml:space="preserve">. Backup procedure + per-file manifest: </w:t>
      </w:r>
      <w:r>
        <w:rPr>
          <w:rFonts w:ascii="Consolas" w:hAnsi="Consolas"/>
        </w:rPr>
        <w:t>GIAB_ARTIFACT_BACKUP.md</w:t>
      </w:r>
      <w:r>
        <w:t xml:space="preserve"> (anukriti_docs). Container is private; reviewer access via read-only SAS or DOI mirror on request.</w:t>
      </w:r>
    </w:p>
    <w:p>
      <w:pPr>
        <w:pStyle w:val="ListBullet"/>
      </w:pPr>
      <w:r>
        <w:t xml:space="preserve">Citable data deposit (StarPhase call JSONs, score, checksums, scoring script): Zenodo </w:t>
      </w:r>
      <w:r>
        <w:rPr>
          <w:b/>
        </w:rPr>
        <w:t>https://doi.org/10.5281/zenodo.20727790</w:t>
      </w:r>
      <w:r>
        <w:t xml:space="preserve"> (CC-BY-4.0; BAM/BAI excluded — see source accessions below)</w:t>
      </w:r>
    </w:p>
    <w:p>
      <w:pPr>
        <w:pStyle w:val="ListBullet"/>
      </w:pPr>
      <w:r>
        <w:t xml:space="preserve">Public validation repository (scoring script + StarPhase outputs + provenance): </w:t>
      </w:r>
      <w:r>
        <w:rPr>
          <w:b/>
        </w:rPr>
        <w:t>https://github.com/AnukritiAi-hq/anukriti-validation</w:t>
      </w:r>
      <w:r>
        <w:t xml:space="preserve"> (Apache 2.0)</w:t>
      </w:r>
    </w:p>
    <w:p>
      <w:pPr>
        <w:pStyle w:val="ListBullet"/>
      </w:pPr>
      <w:r>
        <w:t xml:space="preserve">Source read data (excluded from the deposit/repo): HG01190 — ENA </w:t>
      </w:r>
      <w:r>
        <w:rPr>
          <w:rFonts w:ascii="Consolas" w:hAnsi="Consolas"/>
        </w:rPr>
        <w:t>SRR25583344</w:t>
      </w:r>
      <w:r>
        <w:t xml:space="preserve"> (ArrayExpress </w:t>
      </w:r>
      <w:r>
        <w:rPr>
          <w:rFonts w:ascii="Consolas" w:hAnsi="Consolas"/>
        </w:rPr>
        <w:t>E-MTAB-15248</w:t>
      </w:r>
      <w:r>
        <w:t>); HG001/HG002 — GIAB FTP (</w:t>
      </w:r>
      <w:r>
        <w:rPr>
          <w:rFonts w:ascii="Consolas" w:hAnsi="Consolas"/>
        </w:rPr>
        <w:t>https://ftp-trace.ncbi.nlm.nih.gov/ReferenceSamples/giab/</w:t>
      </w:r>
      <w:r>
        <w:t>)</w:t>
      </w:r>
    </w:p>
    <w:p>
      <w:pPr>
        <w:pStyle w:val="Heading2"/>
      </w:pPr>
      <w:r>
        <w:t>Appendix B — Commit Log (CYP2D6 Rung-2)</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9"/>
              </w:rPr>
            </w:r>
            <w:r>
              <w:rPr>
                <w:b/>
                <w:color w:val="FFFFFF"/>
                <w:sz w:val="19"/>
              </w:rPr>
              <w:t>Commit</w:t>
            </w:r>
          </w:p>
        </w:tc>
        <w:tc>
          <w:tcPr>
            <w:tcW w:type="dxa" w:w="3120"/>
            <w:shd w:val="clear" w:color="auto" w:fill="1F3864"/>
          </w:tcPr>
          <w:p>
            <w:r>
              <w:rPr>
                <w:b/>
                <w:color w:val="FFFFFF"/>
                <w:sz w:val="19"/>
              </w:rPr>
            </w:r>
            <w:r>
              <w:rPr>
                <w:b/>
                <w:color w:val="FFFFFF"/>
                <w:sz w:val="19"/>
              </w:rPr>
              <w:t>Repo</w:t>
            </w:r>
          </w:p>
        </w:tc>
        <w:tc>
          <w:tcPr>
            <w:tcW w:type="dxa" w:w="3120"/>
            <w:shd w:val="clear" w:color="auto" w:fill="1F3864"/>
          </w:tcPr>
          <w:p>
            <w:r>
              <w:rPr>
                <w:b/>
                <w:color w:val="FFFFFF"/>
                <w:sz w:val="19"/>
              </w:rPr>
            </w:r>
            <w:r>
              <w:rPr>
                <w:b/>
                <w:color w:val="FFFFFF"/>
                <w:sz w:val="19"/>
              </w:rPr>
              <w:t>Description</w:t>
            </w:r>
          </w:p>
        </w:tc>
      </w:tr>
      <w:tr>
        <w:tc>
          <w:tcPr>
            <w:tcW w:type="dxa" w:w="3120"/>
          </w:tcPr>
          <w:p>
            <w:r>
              <w:rPr>
                <w:sz w:val="19"/>
              </w:rPr>
            </w:r>
            <w:r>
              <w:rPr>
                <w:sz w:val="19"/>
              </w:rPr>
              <w:t>d34ed48</w:t>
            </w:r>
          </w:p>
        </w:tc>
        <w:tc>
          <w:tcPr>
            <w:tcW w:type="dxa" w:w="3120"/>
          </w:tcPr>
          <w:p>
            <w:r>
              <w:rPr>
                <w:sz w:val="19"/>
              </w:rPr>
            </w:r>
            <w:r>
              <w:rPr>
                <w:sz w:val="19"/>
              </w:rPr>
              <w:t>anukriti</w:t>
            </w:r>
          </w:p>
        </w:tc>
        <w:tc>
          <w:tcPr>
            <w:tcW w:type="dxa" w:w="3120"/>
          </w:tcPr>
          <w:p>
            <w:r>
              <w:rPr>
                <w:sz w:val="19"/>
              </w:rPr>
            </w:r>
            <w:r>
              <w:rPr>
                <w:sz w:val="19"/>
              </w:rPr>
              <w:t>fetch_giab_cyp2d6_longread.py — remote region slicer, HG002 verified</w:t>
            </w:r>
          </w:p>
        </w:tc>
      </w:tr>
      <w:tr>
        <w:tc>
          <w:tcPr>
            <w:tcW w:type="dxa" w:w="3120"/>
          </w:tcPr>
          <w:p>
            <w:r>
              <w:rPr>
                <w:sz w:val="19"/>
              </w:rPr>
            </w:r>
            <w:r>
              <w:rPr>
                <w:sz w:val="19"/>
              </w:rPr>
              <w:t>a35e4b2</w:t>
            </w:r>
          </w:p>
        </w:tc>
        <w:tc>
          <w:tcPr>
            <w:tcW w:type="dxa" w:w="3120"/>
          </w:tcPr>
          <w:p>
            <w:r>
              <w:rPr>
                <w:sz w:val="19"/>
              </w:rPr>
            </w:r>
            <w:r>
              <w:rPr>
                <w:sz w:val="19"/>
              </w:rPr>
              <w:t>anukriti</w:t>
            </w:r>
          </w:p>
        </w:tc>
        <w:tc>
          <w:tcPr>
            <w:tcW w:type="dxa" w:w="3120"/>
          </w:tcPr>
          <w:p>
            <w:r>
              <w:rPr>
                <w:sz w:val="19"/>
              </w:rPr>
            </w:r>
            <w:r>
              <w:rPr>
                <w:sz w:val="19"/>
              </w:rPr>
              <w:t>StarPhase gene_details schema parser; HG002 e2e verified; 46 tests pass</w:t>
            </w:r>
          </w:p>
        </w:tc>
      </w:tr>
      <w:tr>
        <w:tc>
          <w:tcPr>
            <w:tcW w:type="dxa" w:w="3120"/>
          </w:tcPr>
          <w:p>
            <w:r>
              <w:rPr>
                <w:sz w:val="19"/>
              </w:rPr>
            </w:r>
            <w:r>
              <w:rPr>
                <w:sz w:val="19"/>
              </w:rPr>
              <w:t>765a43d</w:t>
            </w:r>
          </w:p>
        </w:tc>
        <w:tc>
          <w:tcPr>
            <w:tcW w:type="dxa" w:w="3120"/>
          </w:tcPr>
          <w:p>
            <w:r>
              <w:rPr>
                <w:sz w:val="19"/>
              </w:rPr>
            </w:r>
            <w:r>
              <w:rPr>
                <w:sz w:val="19"/>
              </w:rPr>
              <w:t>anukriti</w:t>
            </w:r>
          </w:p>
        </w:tc>
        <w:tc>
          <w:tcPr>
            <w:tcW w:type="dxa" w:w="3120"/>
          </w:tcPr>
          <w:p>
            <w:r>
              <w:rPr>
                <w:sz w:val="19"/>
              </w:rPr>
            </w:r>
            <w:r>
              <w:rPr>
                <w:sz w:val="19"/>
              </w:rPr>
              <w:t>HG001 truth (*3/*68+*4 → PM, Gaedigk 2019); ENA runner script; NA12878 SV-blind entry removed; 46 tests pass</w:t>
            </w:r>
          </w:p>
        </w:tc>
      </w:tr>
      <w:tr>
        <w:tc>
          <w:tcPr>
            <w:tcW w:type="dxa" w:w="3120"/>
          </w:tcPr>
          <w:p>
            <w:r>
              <w:rPr>
                <w:sz w:val="19"/>
              </w:rPr>
            </w:r>
            <w:r>
              <w:rPr>
                <w:sz w:val="19"/>
              </w:rPr>
              <w:t>0d7275b</w:t>
            </w:r>
          </w:p>
        </w:tc>
        <w:tc>
          <w:tcPr>
            <w:tcW w:type="dxa" w:w="3120"/>
          </w:tcPr>
          <w:p>
            <w:r>
              <w:rPr>
                <w:sz w:val="19"/>
              </w:rPr>
            </w:r>
            <w:r>
              <w:rPr>
                <w:sz w:val="19"/>
              </w:rPr>
              <w:t>anukriti_docs</w:t>
            </w:r>
          </w:p>
        </w:tc>
        <w:tc>
          <w:tcPr>
            <w:tcW w:type="dxa" w:w="3120"/>
          </w:tcPr>
          <w:p>
            <w:r>
              <w:rPr>
                <w:sz w:val="19"/>
              </w:rPr>
            </w:r>
            <w:r>
              <w:rPr>
                <w:sz w:val="19"/>
              </w:rPr>
              <w:t>STARPHASE_SETUP.md — verified &lt;30-min procedure with prebuilt-DB gotcha</w:t>
            </w:r>
          </w:p>
        </w:tc>
      </w:tr>
      <w:tr>
        <w:tc>
          <w:tcPr>
            <w:tcW w:type="dxa" w:w="3120"/>
          </w:tcPr>
          <w:p>
            <w:r>
              <w:rPr>
                <w:sz w:val="19"/>
              </w:rPr>
            </w:r>
            <w:r>
              <w:rPr>
                <w:sz w:val="19"/>
              </w:rPr>
              <w:t>13c1e29</w:t>
            </w:r>
          </w:p>
        </w:tc>
        <w:tc>
          <w:tcPr>
            <w:tcW w:type="dxa" w:w="3120"/>
          </w:tcPr>
          <w:p>
            <w:r>
              <w:rPr>
                <w:sz w:val="19"/>
              </w:rPr>
            </w:r>
            <w:r>
              <w:rPr>
                <w:sz w:val="19"/>
              </w:rPr>
              <w:t>anukriti_docs</w:t>
            </w:r>
          </w:p>
        </w:tc>
        <w:tc>
          <w:tcPr>
            <w:tcW w:type="dxa" w:w="3120"/>
          </w:tcPr>
          <w:p>
            <w:r>
              <w:rPr>
                <w:sz w:val="19"/>
              </w:rPr>
            </w:r>
            <w:r>
              <w:rPr>
                <w:sz w:val="19"/>
              </w:rPr>
              <w:t>STARPHASE_SETUP.md updated: HG001 result + ENA quirk documented</w:t>
            </w:r>
          </w:p>
        </w:tc>
      </w:tr>
      <w:tr>
        <w:tc>
          <w:tcPr>
            <w:tcW w:type="dxa" w:w="3120"/>
          </w:tcPr>
          <w:p>
            <w:r>
              <w:rPr>
                <w:sz w:val="19"/>
              </w:rPr>
            </w:r>
            <w:r>
              <w:rPr>
                <w:sz w:val="19"/>
              </w:rPr>
              <w:t>26e6240</w:t>
            </w:r>
          </w:p>
        </w:tc>
        <w:tc>
          <w:tcPr>
            <w:tcW w:type="dxa" w:w="3120"/>
          </w:tcPr>
          <w:p>
            <w:r>
              <w:rPr>
                <w:sz w:val="19"/>
              </w:rPr>
            </w:r>
            <w:r>
              <w:rPr>
                <w:sz w:val="19"/>
              </w:rPr>
              <w:t>anukriti-pgx-core</w:t>
            </w:r>
          </w:p>
        </w:tc>
        <w:tc>
          <w:tcPr>
            <w:tcW w:type="dxa" w:w="3120"/>
          </w:tcPr>
          <w:p>
            <w:r>
              <w:rPr>
                <w:sz w:val="19"/>
              </w:rPr>
            </w:r>
            <w:r>
              <w:rPr>
                <w:sz w:val="19"/>
              </w:rPr>
              <w:t>release v0.6.0 — CYP2D6 SV ingestion migrated into the engine (PyPI)</w:t>
            </w:r>
          </w:p>
        </w:tc>
      </w:tr>
      <w:tr>
        <w:tc>
          <w:tcPr>
            <w:tcW w:type="dxa" w:w="3120"/>
          </w:tcPr>
          <w:p>
            <w:r>
              <w:rPr>
                <w:sz w:val="19"/>
              </w:rPr>
            </w:r>
            <w:r>
              <w:rPr>
                <w:sz w:val="19"/>
              </w:rPr>
              <w:t>dbcc0ef</w:t>
            </w:r>
          </w:p>
        </w:tc>
        <w:tc>
          <w:tcPr>
            <w:tcW w:type="dxa" w:w="3120"/>
          </w:tcPr>
          <w:p>
            <w:r>
              <w:rPr>
                <w:sz w:val="19"/>
              </w:rPr>
            </w:r>
            <w:r>
              <w:rPr>
                <w:sz w:val="19"/>
              </w:rPr>
              <w:t>anukriti-api</w:t>
            </w:r>
          </w:p>
        </w:tc>
        <w:tc>
          <w:tcPr>
            <w:tcW w:type="dxa" w:w="3120"/>
          </w:tcPr>
          <w:p>
            <w:r>
              <w:rPr>
                <w:sz w:val="19"/>
              </w:rPr>
            </w:r>
            <w:r>
              <w:rPr>
                <w:sz w:val="19"/>
              </w:rPr>
              <w:t>POST /cyp2d6/sv-ingest endpoint (deterministic, pgx-core 0.6.0)</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Anukriti Validation Manuscript — Researcher Review Copy — p.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