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1A56A0"/>
          <w:sz w:val="48"/>
        </w:rPr>
        <w:t>Enterprise RAG Evaluation Suite</w:t>
      </w:r>
    </w:p>
    <w:p>
      <w:r>
        <w:rPr>
          <w:rFonts w:ascii="Calibri" w:hAnsi="Calibri"/>
          <w:b/>
          <w:i w:val="0"/>
          <w:color w:val="464646"/>
          <w:sz w:val="30"/>
        </w:rPr>
        <w:t>Technical Debugging &amp; Resolution Report</w:t>
      </w:r>
    </w:p>
    <w:p>
      <w:r>
        <w:rPr>
          <w:rFonts w:ascii="Calibri" w:hAnsi="Calibri"/>
          <w:b w:val="0"/>
          <w:i/>
          <w:color w:val="464646"/>
          <w:sz w:val="20"/>
        </w:rPr>
        <w:t>Scope: RAGAS Metrics, Live Pipeline Ingestion, Fault-Tolerant Checkpointing &amp; Provider Routing</w:t>
      </w:r>
    </w:p>
    <w:p>
      <w:pPr>
        <w:spacing w:after="160"/>
      </w:pPr>
    </w:p>
    <w:p>
      <w:pPr>
        <w:spacing w:before="280" w:after="120"/>
      </w:pPr>
      <w:r>
        <w:rPr>
          <w:rFonts w:ascii="Calibri" w:hAnsi="Calibri"/>
          <w:b/>
          <w:i w:val="0"/>
          <w:color w:val="1A56A0"/>
          <w:sz w:val="28"/>
        </w:rPr>
        <w:t>1. Executive Summary</w:t>
      </w:r>
    </w:p>
    <w:p>
      <w:r>
        <w:rPr>
          <w:rFonts w:ascii="Calibri" w:hAnsi="Calibri"/>
          <w:b w:val="0"/>
          <w:i w:val="0"/>
          <w:sz w:val="21"/>
        </w:rPr>
        <w:t>This report provides a comprehensive technical breakdown of all issues encountered, root cause analyses performed, and architectural solutions implemented across the Enterprise RAG Evaluation Framework. The suite evaluates a production RAG system running on FastAPI against ground truth SEC legal contract benchmarks across 6 core metrics: Faithfulness, Answer Relevancy, Context Precision, Context Recall, Answer Correctness, and Tool Correctness.</w:t>
      </w:r>
    </w:p>
    <w:p>
      <w:pPr>
        <w:spacing w:before="280" w:after="120"/>
      </w:pPr>
      <w:r>
        <w:rPr>
          <w:rFonts w:ascii="Calibri" w:hAnsi="Calibri"/>
          <w:b/>
          <w:i w:val="0"/>
          <w:color w:val="1A56A0"/>
          <w:sz w:val="28"/>
        </w:rPr>
        <w:t>2. Summary of Issues &amp; Resolution Matrix</w:t>
      </w:r>
    </w:p>
    <w:tbl>
      <w:tblPr>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576"/>
            <w:vAlign w:val="center"/>
            <w:tcMar>
              <w:top w:w="100" w:type="dxa"/>
              <w:bottom w:w="100" w:type="dxa"/>
              <w:left w:w="140" w:type="dxa"/>
              <w:right w:w="140" w:type="dxa"/>
            </w:tcMar>
            <w:shd w:fill="1A56A0"/>
          </w:tcPr>
          <w:p>
            <w:pPr>
              <w:spacing w:before="40" w:after="40"/>
            </w:pPr>
            <w:r>
              <w:rPr>
                <w:rFonts w:ascii="Calibri" w:hAnsi="Calibri"/>
                <w:b/>
                <w:i w:val="0"/>
                <w:color w:val="FFFFFF"/>
                <w:sz w:val="19"/>
              </w:rPr>
              <w:t>#</w:t>
            </w:r>
          </w:p>
        </w:tc>
        <w:tc>
          <w:tcPr>
            <w:tcW w:type="dxa" w:w="2592"/>
            <w:vAlign w:val="center"/>
            <w:tcMar>
              <w:top w:w="100" w:type="dxa"/>
              <w:bottom w:w="100" w:type="dxa"/>
              <w:left w:w="140" w:type="dxa"/>
              <w:right w:w="140" w:type="dxa"/>
            </w:tcMar>
            <w:shd w:fill="1A56A0"/>
          </w:tcPr>
          <w:p>
            <w:pPr>
              <w:spacing w:before="40" w:after="40"/>
            </w:pPr>
            <w:r>
              <w:rPr>
                <w:rFonts w:ascii="Calibri" w:hAnsi="Calibri"/>
                <w:b/>
                <w:i w:val="0"/>
                <w:color w:val="FFFFFF"/>
                <w:sz w:val="19"/>
              </w:rPr>
              <w:t>Issue / Error</w:t>
            </w:r>
          </w:p>
        </w:tc>
        <w:tc>
          <w:tcPr>
            <w:tcW w:type="dxa" w:w="3312"/>
            <w:vAlign w:val="center"/>
            <w:tcMar>
              <w:top w:w="100" w:type="dxa"/>
              <w:bottom w:w="100" w:type="dxa"/>
              <w:left w:w="140" w:type="dxa"/>
              <w:right w:w="140" w:type="dxa"/>
            </w:tcMar>
            <w:shd w:fill="1A56A0"/>
          </w:tcPr>
          <w:p>
            <w:pPr>
              <w:spacing w:before="40" w:after="40"/>
            </w:pPr>
            <w:r>
              <w:rPr>
                <w:rFonts w:ascii="Calibri" w:hAnsi="Calibri"/>
                <w:b/>
                <w:i w:val="0"/>
                <w:color w:val="FFFFFF"/>
                <w:sz w:val="19"/>
              </w:rPr>
              <w:t>Root Cause</w:t>
            </w:r>
          </w:p>
        </w:tc>
        <w:tc>
          <w:tcPr>
            <w:tcW w:type="dxa" w:w="3312"/>
            <w:vAlign w:val="center"/>
            <w:tcMar>
              <w:top w:w="100" w:type="dxa"/>
              <w:bottom w:w="100" w:type="dxa"/>
              <w:left w:w="140" w:type="dxa"/>
              <w:right w:w="140" w:type="dxa"/>
            </w:tcMar>
            <w:shd w:fill="1A56A0"/>
          </w:tcPr>
          <w:p>
            <w:pPr>
              <w:spacing w:before="40" w:after="40"/>
            </w:pPr>
            <w:r>
              <w:rPr>
                <w:rFonts w:ascii="Calibri" w:hAnsi="Calibri"/>
                <w:b/>
                <w:i w:val="0"/>
                <w:color w:val="FFFFFF"/>
                <w:sz w:val="19"/>
              </w:rPr>
              <w:t>Technical Resolution</w:t>
            </w:r>
          </w:p>
        </w:tc>
      </w:tr>
      <w:tr>
        <w:trPr>
          <w:cantSplit/>
        </w:trPr>
        <w:tc>
          <w:tcPr>
            <w:tcW w:type="dxa" w:w="576"/>
            <w:vAlign w:val="center"/>
            <w:tcMar>
              <w:top w:w="100" w:type="dxa"/>
              <w:bottom w:w="100" w:type="dxa"/>
              <w:left w:w="140" w:type="dxa"/>
              <w:right w:w="140" w:type="dxa"/>
            </w:tcMar>
            <w:shd w:fill="F4F7FB"/>
          </w:tcPr>
          <w:p>
            <w:pPr>
              <w:spacing w:before="40" w:after="40"/>
            </w:pPr>
            <w:r>
              <w:rPr>
                <w:rFonts w:ascii="Calibri" w:hAnsi="Calibri"/>
                <w:b w:val="0"/>
                <w:i w:val="0"/>
                <w:color w:val="282828"/>
                <w:sz w:val="18"/>
              </w:rPr>
              <w:t>1</w:t>
            </w:r>
          </w:p>
        </w:tc>
        <w:tc>
          <w:tcPr>
            <w:tcW w:type="dxa" w:w="2592"/>
            <w:vAlign w:val="center"/>
            <w:tcMar>
              <w:top w:w="100" w:type="dxa"/>
              <w:bottom w:w="100" w:type="dxa"/>
              <w:left w:w="140" w:type="dxa"/>
              <w:right w:w="140" w:type="dxa"/>
            </w:tcMar>
            <w:shd w:fill="F4F7FB"/>
          </w:tcPr>
          <w:p>
            <w:pPr>
              <w:spacing w:before="40" w:after="40"/>
            </w:pPr>
            <w:r>
              <w:rPr>
                <w:rFonts w:ascii="Calibri" w:hAnsi="Calibri"/>
                <w:b w:val="0"/>
                <w:i w:val="0"/>
                <w:color w:val="282828"/>
                <w:sz w:val="18"/>
              </w:rPr>
              <w:t>404 NOT_FOUND: Model no longer available</w:t>
            </w:r>
          </w:p>
        </w:tc>
        <w:tc>
          <w:tcPr>
            <w:tcW w:type="dxa" w:w="3312"/>
            <w:vAlign w:val="center"/>
            <w:tcMar>
              <w:top w:w="100" w:type="dxa"/>
              <w:bottom w:w="100" w:type="dxa"/>
              <w:left w:w="140" w:type="dxa"/>
              <w:right w:w="140" w:type="dxa"/>
            </w:tcMar>
            <w:shd w:fill="F4F7FB"/>
          </w:tcPr>
          <w:p>
            <w:pPr>
              <w:spacing w:before="40" w:after="40"/>
            </w:pPr>
            <w:r>
              <w:rPr>
                <w:rFonts w:ascii="Calibri" w:hAnsi="Calibri"/>
                <w:b w:val="0"/>
                <w:i w:val="0"/>
                <w:color w:val="282828"/>
                <w:sz w:val="18"/>
              </w:rPr>
              <w:t>Deprecated model ID and legacy OpenAI endpoint deprecation for Gemini on AI Studio.</w:t>
            </w:r>
          </w:p>
        </w:tc>
        <w:tc>
          <w:tcPr>
            <w:tcW w:type="dxa" w:w="3312"/>
            <w:vAlign w:val="center"/>
            <w:tcMar>
              <w:top w:w="100" w:type="dxa"/>
              <w:bottom w:w="100" w:type="dxa"/>
              <w:left w:w="140" w:type="dxa"/>
              <w:right w:w="140" w:type="dxa"/>
            </w:tcMar>
            <w:shd w:fill="F4F7FB"/>
          </w:tcPr>
          <w:p>
            <w:pPr>
              <w:spacing w:before="40" w:after="40"/>
            </w:pPr>
            <w:r>
              <w:rPr>
                <w:rFonts w:ascii="Calibri" w:hAnsi="Calibri"/>
                <w:b w:val="0"/>
                <w:i w:val="0"/>
                <w:color w:val="282828"/>
                <w:sz w:val="18"/>
              </w:rPr>
              <w:t>Configured multi-tier provider factory with OpenRouter (meta-llama/llama-3.3-70b-instruct) as default.</w:t>
            </w:r>
          </w:p>
        </w:tc>
      </w:tr>
      <w:tr>
        <w:trPr>
          <w:cantSplit/>
        </w:trPr>
        <w:tc>
          <w:tcPr>
            <w:tcW w:type="dxa" w:w="576"/>
            <w:vAlign w:val="center"/>
            <w:tcMar>
              <w:top w:w="100" w:type="dxa"/>
              <w:bottom w:w="100" w:type="dxa"/>
              <w:left w:w="140" w:type="dxa"/>
              <w:right w:w="140" w:type="dxa"/>
            </w:tcMar>
          </w:tcPr>
          <w:p>
            <w:pPr>
              <w:spacing w:before="40" w:after="40"/>
            </w:pPr>
            <w:r>
              <w:rPr>
                <w:rFonts w:ascii="Calibri" w:hAnsi="Calibri"/>
                <w:b w:val="0"/>
                <w:i w:val="0"/>
                <w:color w:val="282828"/>
                <w:sz w:val="18"/>
              </w:rPr>
              <w:t>2</w:t>
            </w:r>
          </w:p>
        </w:tc>
        <w:tc>
          <w:tcPr>
            <w:tcW w:type="dxa" w:w="2592"/>
            <w:vAlign w:val="center"/>
            <w:tcMar>
              <w:top w:w="100" w:type="dxa"/>
              <w:bottom w:w="100" w:type="dxa"/>
              <w:left w:w="140" w:type="dxa"/>
              <w:right w:w="140" w:type="dxa"/>
            </w:tcMar>
          </w:tcPr>
          <w:p>
            <w:pPr>
              <w:spacing w:before="40" w:after="40"/>
            </w:pPr>
            <w:r>
              <w:rPr>
                <w:rFonts w:ascii="Calibri" w:hAnsi="Calibri"/>
                <w:b w:val="0"/>
                <w:i w:val="0"/>
                <w:color w:val="282828"/>
                <w:sz w:val="18"/>
              </w:rPr>
              <w:t>429 RESOURCE_EXHAUSTED on Vertex AI</w:t>
            </w:r>
          </w:p>
        </w:tc>
        <w:tc>
          <w:tcPr>
            <w:tcW w:type="dxa" w:w="3312"/>
            <w:vAlign w:val="center"/>
            <w:tcMar>
              <w:top w:w="100" w:type="dxa"/>
              <w:bottom w:w="100" w:type="dxa"/>
              <w:left w:w="140" w:type="dxa"/>
              <w:right w:w="140" w:type="dxa"/>
            </w:tcMar>
          </w:tcPr>
          <w:p>
            <w:pPr>
              <w:spacing w:before="40" w:after="40"/>
            </w:pPr>
            <w:r>
              <w:rPr>
                <w:rFonts w:ascii="Calibri" w:hAnsi="Calibri"/>
                <w:b w:val="0"/>
                <w:i w:val="0"/>
                <w:color w:val="282828"/>
                <w:sz w:val="18"/>
              </w:rPr>
              <w:t>Standard tier quota limits on gemini-2.5-flash during concurrent evaluation bursts.</w:t>
            </w:r>
          </w:p>
        </w:tc>
        <w:tc>
          <w:tcPr>
            <w:tcW w:type="dxa" w:w="3312"/>
            <w:vAlign w:val="center"/>
            <w:tcMar>
              <w:top w:w="100" w:type="dxa"/>
              <w:bottom w:w="100" w:type="dxa"/>
              <w:left w:w="140" w:type="dxa"/>
              <w:right w:w="140" w:type="dxa"/>
            </w:tcMar>
          </w:tcPr>
          <w:p>
            <w:pPr>
              <w:spacing w:before="40" w:after="40"/>
            </w:pPr>
            <w:r>
              <w:rPr>
                <w:rFonts w:ascii="Calibri" w:hAnsi="Calibri"/>
                <w:b w:val="0"/>
                <w:i w:val="0"/>
                <w:color w:val="282828"/>
                <w:sz w:val="18"/>
              </w:rPr>
              <w:t>Added max_retries=5 exponential backoff and routed high-throughput scoring to OpenRouter.</w:t>
            </w:r>
          </w:p>
        </w:tc>
      </w:tr>
      <w:tr>
        <w:trPr>
          <w:cantSplit/>
        </w:trPr>
        <w:tc>
          <w:tcPr>
            <w:tcW w:type="dxa" w:w="576"/>
            <w:vAlign w:val="center"/>
            <w:tcMar>
              <w:top w:w="100" w:type="dxa"/>
              <w:bottom w:w="100" w:type="dxa"/>
              <w:left w:w="140" w:type="dxa"/>
              <w:right w:w="140" w:type="dxa"/>
            </w:tcMar>
            <w:shd w:fill="F4F7FB"/>
          </w:tcPr>
          <w:p>
            <w:pPr>
              <w:spacing w:before="40" w:after="40"/>
            </w:pPr>
            <w:r>
              <w:rPr>
                <w:rFonts w:ascii="Calibri" w:hAnsi="Calibri"/>
                <w:b w:val="0"/>
                <w:i w:val="0"/>
                <w:color w:val="282828"/>
                <w:sz w:val="18"/>
              </w:rPr>
              <w:t>3</w:t>
            </w:r>
          </w:p>
        </w:tc>
        <w:tc>
          <w:tcPr>
            <w:tcW w:type="dxa" w:w="2592"/>
            <w:vAlign w:val="center"/>
            <w:tcMar>
              <w:top w:w="100" w:type="dxa"/>
              <w:bottom w:w="100" w:type="dxa"/>
              <w:left w:w="140" w:type="dxa"/>
              <w:right w:w="140" w:type="dxa"/>
            </w:tcMar>
            <w:shd w:fill="F4F7FB"/>
          </w:tcPr>
          <w:p>
            <w:pPr>
              <w:spacing w:before="40" w:after="40"/>
            </w:pPr>
            <w:r>
              <w:rPr>
                <w:rFonts w:ascii="Calibri" w:hAnsi="Calibri"/>
                <w:b w:val="0"/>
                <w:i w:val="0"/>
                <w:color w:val="282828"/>
                <w:sz w:val="18"/>
              </w:rPr>
              <w:t>404 No endpoints found on OpenRouter</w:t>
            </w:r>
          </w:p>
        </w:tc>
        <w:tc>
          <w:tcPr>
            <w:tcW w:type="dxa" w:w="3312"/>
            <w:vAlign w:val="center"/>
            <w:tcMar>
              <w:top w:w="100" w:type="dxa"/>
              <w:bottom w:w="100" w:type="dxa"/>
              <w:left w:w="140" w:type="dxa"/>
              <w:right w:w="140" w:type="dxa"/>
            </w:tcMar>
            <w:shd w:fill="F4F7FB"/>
          </w:tcPr>
          <w:p>
            <w:pPr>
              <w:spacing w:before="40" w:after="40"/>
            </w:pPr>
            <w:r>
              <w:rPr>
                <w:rFonts w:ascii="Calibri" w:hAnsi="Calibri"/>
                <w:b w:val="0"/>
                <w:i w:val="0"/>
                <w:color w:val="282828"/>
                <w:sz w:val="18"/>
              </w:rPr>
              <w:t>Invalid model ID (google/gemini-2.0-flash-001).</w:t>
            </w:r>
          </w:p>
        </w:tc>
        <w:tc>
          <w:tcPr>
            <w:tcW w:type="dxa" w:w="3312"/>
            <w:vAlign w:val="center"/>
            <w:tcMar>
              <w:top w:w="100" w:type="dxa"/>
              <w:bottom w:w="100" w:type="dxa"/>
              <w:left w:w="140" w:type="dxa"/>
              <w:right w:w="140" w:type="dxa"/>
            </w:tcMar>
            <w:shd w:fill="F4F7FB"/>
          </w:tcPr>
          <w:p>
            <w:pPr>
              <w:spacing w:before="40" w:after="40"/>
            </w:pPr>
            <w:r>
              <w:rPr>
                <w:rFonts w:ascii="Calibri" w:hAnsi="Calibri"/>
                <w:b w:val="0"/>
                <w:i w:val="0"/>
                <w:color w:val="282828"/>
                <w:sz w:val="18"/>
              </w:rPr>
              <w:t>Standardized default model to meta-llama/llama-3.3-70b-instruct with sub-second latency.</w:t>
            </w:r>
          </w:p>
        </w:tc>
      </w:tr>
      <w:tr>
        <w:trPr>
          <w:cantSplit/>
        </w:trPr>
        <w:tc>
          <w:tcPr>
            <w:tcW w:type="dxa" w:w="576"/>
            <w:vAlign w:val="center"/>
            <w:tcMar>
              <w:top w:w="100" w:type="dxa"/>
              <w:bottom w:w="100" w:type="dxa"/>
              <w:left w:w="140" w:type="dxa"/>
              <w:right w:w="140" w:type="dxa"/>
            </w:tcMar>
          </w:tcPr>
          <w:p>
            <w:pPr>
              <w:spacing w:before="40" w:after="40"/>
            </w:pPr>
            <w:r>
              <w:rPr>
                <w:rFonts w:ascii="Calibri" w:hAnsi="Calibri"/>
                <w:b w:val="0"/>
                <w:i w:val="0"/>
                <w:color w:val="282828"/>
                <w:sz w:val="18"/>
              </w:rPr>
              <w:t>4</w:t>
            </w:r>
          </w:p>
        </w:tc>
        <w:tc>
          <w:tcPr>
            <w:tcW w:type="dxa" w:w="2592"/>
            <w:vAlign w:val="center"/>
            <w:tcMar>
              <w:top w:w="100" w:type="dxa"/>
              <w:bottom w:w="100" w:type="dxa"/>
              <w:left w:w="140" w:type="dxa"/>
              <w:right w:w="140" w:type="dxa"/>
            </w:tcMar>
          </w:tcPr>
          <w:p>
            <w:pPr>
              <w:spacing w:before="40" w:after="40"/>
            </w:pPr>
            <w:r>
              <w:rPr>
                <w:rFonts w:ascii="Calibri" w:hAnsi="Calibri"/>
                <w:b w:val="0"/>
                <w:i w:val="0"/>
                <w:color w:val="282828"/>
                <w:sz w:val="18"/>
              </w:rPr>
              <w:t>Loss of Eval Progress on Crash</w:t>
            </w:r>
          </w:p>
        </w:tc>
        <w:tc>
          <w:tcPr>
            <w:tcW w:type="dxa" w:w="3312"/>
            <w:vAlign w:val="center"/>
            <w:tcMar>
              <w:top w:w="100" w:type="dxa"/>
              <w:bottom w:w="100" w:type="dxa"/>
              <w:left w:w="140" w:type="dxa"/>
              <w:right w:w="140" w:type="dxa"/>
            </w:tcMar>
          </w:tcPr>
          <w:p>
            <w:pPr>
              <w:spacing w:before="40" w:after="40"/>
            </w:pPr>
            <w:r>
              <w:rPr>
                <w:rFonts w:ascii="Calibri" w:hAnsi="Calibri"/>
                <w:b w:val="0"/>
                <w:i w:val="0"/>
                <w:color w:val="282828"/>
                <w:sz w:val="18"/>
              </w:rPr>
              <w:t>In-memory metrics state in Streamlit lost on rate limits or reload.</w:t>
            </w:r>
          </w:p>
        </w:tc>
        <w:tc>
          <w:tcPr>
            <w:tcW w:type="dxa" w:w="3312"/>
            <w:vAlign w:val="center"/>
            <w:tcMar>
              <w:top w:w="100" w:type="dxa"/>
              <w:bottom w:w="100" w:type="dxa"/>
              <w:left w:w="140" w:type="dxa"/>
              <w:right w:w="140" w:type="dxa"/>
            </w:tcMar>
          </w:tcPr>
          <w:p>
            <w:pPr>
              <w:spacing w:before="40" w:after="40"/>
            </w:pPr>
            <w:r>
              <w:rPr>
                <w:rFonts w:ascii="Calibri" w:hAnsi="Calibri"/>
                <w:b w:val="0"/>
                <w:i w:val="0"/>
                <w:color w:val="282828"/>
                <w:sz w:val="18"/>
              </w:rPr>
              <w:t>Implemented Dual-Level Checkpointing (sample-level + stage-level persistence to metric_results.json).</w:t>
            </w:r>
          </w:p>
        </w:tc>
      </w:tr>
      <w:tr>
        <w:trPr>
          <w:cantSplit/>
        </w:trPr>
        <w:tc>
          <w:tcPr>
            <w:tcW w:type="dxa" w:w="576"/>
            <w:vAlign w:val="center"/>
            <w:tcMar>
              <w:top w:w="100" w:type="dxa"/>
              <w:bottom w:w="100" w:type="dxa"/>
              <w:left w:w="140" w:type="dxa"/>
              <w:right w:w="140" w:type="dxa"/>
            </w:tcMar>
            <w:shd w:fill="F4F7FB"/>
          </w:tcPr>
          <w:p>
            <w:pPr>
              <w:spacing w:before="40" w:after="40"/>
            </w:pPr>
            <w:r>
              <w:rPr>
                <w:rFonts w:ascii="Calibri" w:hAnsi="Calibri"/>
                <w:b w:val="0"/>
                <w:i w:val="0"/>
                <w:color w:val="282828"/>
                <w:sz w:val="18"/>
              </w:rPr>
              <w:t>5</w:t>
            </w:r>
          </w:p>
        </w:tc>
        <w:tc>
          <w:tcPr>
            <w:tcW w:type="dxa" w:w="2592"/>
            <w:vAlign w:val="center"/>
            <w:tcMar>
              <w:top w:w="100" w:type="dxa"/>
              <w:bottom w:w="100" w:type="dxa"/>
              <w:left w:w="140" w:type="dxa"/>
              <w:right w:w="140" w:type="dxa"/>
            </w:tcMar>
            <w:shd w:fill="F4F7FB"/>
          </w:tcPr>
          <w:p>
            <w:pPr>
              <w:spacing w:before="40" w:after="40"/>
            </w:pPr>
            <w:r>
              <w:rPr>
                <w:rFonts w:ascii="Calibri" w:hAnsi="Calibri"/>
                <w:b w:val="0"/>
                <w:i w:val="0"/>
                <w:color w:val="282828"/>
                <w:sz w:val="18"/>
              </w:rPr>
              <w:t>Tool Correctness = 0.0</w:t>
            </w:r>
          </w:p>
        </w:tc>
        <w:tc>
          <w:tcPr>
            <w:tcW w:type="dxa" w:w="3312"/>
            <w:vAlign w:val="center"/>
            <w:tcMar>
              <w:top w:w="100" w:type="dxa"/>
              <w:bottom w:w="100" w:type="dxa"/>
              <w:left w:w="140" w:type="dxa"/>
              <w:right w:w="140" w:type="dxa"/>
            </w:tcMar>
            <w:shd w:fill="F4F7FB"/>
          </w:tcPr>
          <w:p>
            <w:pPr>
              <w:spacing w:before="40" w:after="40"/>
            </w:pPr>
            <w:r>
              <w:rPr>
                <w:rFonts w:ascii="Calibri" w:hAnsi="Calibri"/>
                <w:b w:val="0"/>
                <w:i w:val="0"/>
                <w:color w:val="282828"/>
                <w:sz w:val="18"/>
              </w:rPr>
              <w:t>Regex mismatch: backend logged -&gt; Technical, detection expected : Technical.</w:t>
            </w:r>
          </w:p>
        </w:tc>
        <w:tc>
          <w:tcPr>
            <w:tcW w:type="dxa" w:w="3312"/>
            <w:vAlign w:val="center"/>
            <w:tcMar>
              <w:top w:w="100" w:type="dxa"/>
              <w:bottom w:w="100" w:type="dxa"/>
              <w:left w:w="140" w:type="dxa"/>
              <w:right w:w="140" w:type="dxa"/>
            </w:tcMar>
            <w:shd w:fill="F4F7FB"/>
          </w:tcPr>
          <w:p>
            <w:pPr>
              <w:spacing w:before="40" w:after="40"/>
            </w:pPr>
            <w:r>
              <w:rPr>
                <w:rFonts w:ascii="Calibri" w:hAnsi="Calibri"/>
                <w:b w:val="0"/>
                <w:i w:val="0"/>
                <w:color w:val="282828"/>
                <w:sz w:val="18"/>
              </w:rPr>
              <w:t>Updated detect_tool() to match technical, vector search, and graph rag.</w:t>
            </w:r>
          </w:p>
        </w:tc>
      </w:tr>
      <w:tr>
        <w:trPr>
          <w:cantSplit/>
        </w:trPr>
        <w:tc>
          <w:tcPr>
            <w:tcW w:type="dxa" w:w="576"/>
            <w:vAlign w:val="center"/>
            <w:tcMar>
              <w:top w:w="100" w:type="dxa"/>
              <w:bottom w:w="100" w:type="dxa"/>
              <w:left w:w="140" w:type="dxa"/>
              <w:right w:w="140" w:type="dxa"/>
            </w:tcMar>
          </w:tcPr>
          <w:p>
            <w:pPr>
              <w:spacing w:before="40" w:after="40"/>
            </w:pPr>
            <w:r>
              <w:rPr>
                <w:rFonts w:ascii="Calibri" w:hAnsi="Calibri"/>
                <w:b w:val="0"/>
                <w:i w:val="0"/>
                <w:color w:val="282828"/>
                <w:sz w:val="18"/>
              </w:rPr>
              <w:t>6</w:t>
            </w:r>
          </w:p>
        </w:tc>
        <w:tc>
          <w:tcPr>
            <w:tcW w:type="dxa" w:w="2592"/>
            <w:vAlign w:val="center"/>
            <w:tcMar>
              <w:top w:w="100" w:type="dxa"/>
              <w:bottom w:w="100" w:type="dxa"/>
              <w:left w:w="140" w:type="dxa"/>
              <w:right w:w="140" w:type="dxa"/>
            </w:tcMar>
          </w:tcPr>
          <w:p>
            <w:pPr>
              <w:spacing w:before="40" w:after="40"/>
            </w:pPr>
            <w:r>
              <w:rPr>
                <w:rFonts w:ascii="Calibri" w:hAnsi="Calibri"/>
                <w:b w:val="0"/>
                <w:i w:val="0"/>
                <w:color w:val="282828"/>
                <w:sz w:val="18"/>
              </w:rPr>
              <w:t>Low Faithfulness (0.326) &amp; Correctness (0.204)</w:t>
            </w:r>
          </w:p>
        </w:tc>
        <w:tc>
          <w:tcPr>
            <w:tcW w:type="dxa" w:w="3312"/>
            <w:vAlign w:val="center"/>
            <w:tcMar>
              <w:top w:w="100" w:type="dxa"/>
              <w:bottom w:w="100" w:type="dxa"/>
              <w:left w:w="140" w:type="dxa"/>
              <w:right w:w="140" w:type="dxa"/>
            </w:tcMar>
          </w:tcPr>
          <w:p>
            <w:pPr>
              <w:spacing w:before="40" w:after="40"/>
            </w:pPr>
            <w:r>
              <w:rPr>
                <w:rFonts w:ascii="Calibri" w:hAnsi="Calibri"/>
                <w:b w:val="0"/>
                <w:i w:val="0"/>
                <w:color w:val="282828"/>
                <w:sz w:val="18"/>
              </w:rPr>
              <w:t>Static thread IDs (eval_run_i) accumulated chat history in Redis; model complained of repeated queries.</w:t>
            </w:r>
          </w:p>
        </w:tc>
        <w:tc>
          <w:tcPr>
            <w:tcW w:type="dxa" w:w="3312"/>
            <w:vAlign w:val="center"/>
            <w:tcMar>
              <w:top w:w="100" w:type="dxa"/>
              <w:bottom w:w="100" w:type="dxa"/>
              <w:left w:w="140" w:type="dxa"/>
              <w:right w:w="140" w:type="dxa"/>
            </w:tcMar>
          </w:tcPr>
          <w:p>
            <w:pPr>
              <w:spacing w:before="40" w:after="40"/>
            </w:pPr>
            <w:r>
              <w:rPr>
                <w:rFonts w:ascii="Calibri" w:hAnsi="Calibri"/>
                <w:b w:val="0"/>
                <w:i w:val="0"/>
                <w:color w:val="282828"/>
                <w:sz w:val="18"/>
              </w:rPr>
              <w:t>Isolated each query with unique UUID thread IDs, raised truncate limit from 300 to 2000 chars.</w:t>
            </w:r>
          </w:p>
        </w:tc>
      </w:tr>
    </w:tbl>
    <w:p>
      <w:pPr>
        <w:spacing w:after="160"/>
      </w:pPr>
    </w:p>
    <w:p>
      <w:pPr>
        <w:spacing w:before="280" w:after="120"/>
      </w:pPr>
      <w:r>
        <w:rPr>
          <w:rFonts w:ascii="Calibri" w:hAnsi="Calibri"/>
          <w:b/>
          <w:i w:val="0"/>
          <w:color w:val="1A56A0"/>
          <w:sz w:val="28"/>
        </w:rPr>
        <w:t>3. Deep-Dive Technical Root Causes &amp; Solutions</w:t>
      </w:r>
    </w:p>
    <w:p>
      <w:pPr>
        <w:spacing w:before="200" w:after="80"/>
      </w:pPr>
      <w:r>
        <w:rPr>
          <w:rFonts w:ascii="Calibri" w:hAnsi="Calibri"/>
          <w:b/>
          <w:i w:val="0"/>
          <w:color w:val="464646"/>
          <w:sz w:val="24"/>
        </w:rPr>
        <w:t>A. Provider Routing &amp; 404 / 429 Quota Exhaustion</w:t>
      </w:r>
    </w:p>
    <w:p>
      <w:pPr>
        <w:spacing w:after="60"/>
        <w:ind w:left="360"/>
      </w:pPr>
      <w:r>
        <w:rPr>
          <w:rFonts w:ascii="Calibri" w:hAnsi="Calibri"/>
          <w:b/>
          <w:i w:val="0"/>
          <w:color w:val="1A56A0"/>
          <w:sz w:val="22"/>
        </w:rPr>
        <w:t xml:space="preserve">• </w:t>
      </w:r>
      <w:r>
        <w:rPr>
          <w:rFonts w:ascii="Calibri" w:hAnsi="Calibri"/>
          <w:b/>
          <w:i w:val="0"/>
          <w:color w:val="1E1E1E"/>
          <w:sz w:val="22"/>
        </w:rPr>
        <w:t xml:space="preserve">The Symptom: </w:t>
      </w:r>
      <w:r>
        <w:rPr>
          <w:rFonts w:ascii="Calibri" w:hAnsi="Calibri"/>
          <w:b w:val="0"/>
          <w:i w:val="0"/>
          <w:color w:val="282828"/>
          <w:sz w:val="21"/>
        </w:rPr>
        <w:t>Initial calls failed with 404 Not Found on Google AI Studio, followed by 429 Resource Exhausted on Google Cloud Vertex AI ADC OAuth under burst load.</w:t>
      </w:r>
    </w:p>
    <w:p>
      <w:pPr>
        <w:spacing w:after="60"/>
        <w:ind w:left="360"/>
      </w:pPr>
      <w:r>
        <w:rPr>
          <w:rFonts w:ascii="Calibri" w:hAnsi="Calibri"/>
          <w:b/>
          <w:i w:val="0"/>
          <w:color w:val="1A56A0"/>
          <w:sz w:val="22"/>
        </w:rPr>
        <w:t xml:space="preserve">• </w:t>
      </w:r>
      <w:r>
        <w:rPr>
          <w:rFonts w:ascii="Calibri" w:hAnsi="Calibri"/>
          <w:b/>
          <w:i w:val="0"/>
          <w:color w:val="1E1E1E"/>
          <w:sz w:val="22"/>
        </w:rPr>
        <w:t xml:space="preserve">The Root Cause: </w:t>
      </w:r>
      <w:r>
        <w:rPr>
          <w:rFonts w:ascii="Calibri" w:hAnsi="Calibri"/>
          <w:b w:val="0"/>
          <w:i w:val="0"/>
          <w:color w:val="282828"/>
          <w:sz w:val="21"/>
        </w:rPr>
        <w:t>Google AI Studio deprecated OpenAI bridge compatibility for Gemini 2.x keys. Vertex AI standard tier quotas in us-central1 enforced strict per-minute request limits.</w:t>
      </w:r>
    </w:p>
    <w:p>
      <w:pPr>
        <w:spacing w:after="60"/>
        <w:ind w:left="360"/>
      </w:pPr>
      <w:r>
        <w:rPr>
          <w:rFonts w:ascii="Calibri" w:hAnsi="Calibri"/>
          <w:b/>
          <w:i w:val="0"/>
          <w:color w:val="1A56A0"/>
          <w:sz w:val="22"/>
        </w:rPr>
        <w:t xml:space="preserve">• </w:t>
      </w:r>
      <w:r>
        <w:rPr>
          <w:rFonts w:ascii="Calibri" w:hAnsi="Calibri"/>
          <w:b/>
          <w:i w:val="0"/>
          <w:color w:val="1E1E1E"/>
          <w:sz w:val="22"/>
        </w:rPr>
        <w:t xml:space="preserve">The Fix: </w:t>
      </w:r>
      <w:r>
        <w:rPr>
          <w:rFonts w:ascii="Calibri" w:hAnsi="Calibri"/>
          <w:b w:val="0"/>
          <w:i w:val="0"/>
          <w:color w:val="282828"/>
          <w:sz w:val="21"/>
        </w:rPr>
        <w:t>Configured OpenRouter (meta-llama/llama-3.3-70b-instruct) as the primary judge in _build_judge(). Provided automatic failover across OpenAI, Groq, and Vertex AI with per-call rate-limit retry buffers.</w:t>
      </w:r>
    </w:p>
    <w:p>
      <w:pPr>
        <w:spacing w:before="200" w:after="80"/>
      </w:pPr>
      <w:r>
        <w:rPr>
          <w:rFonts w:ascii="Calibri" w:hAnsi="Calibri"/>
          <w:b/>
          <w:i w:val="0"/>
          <w:color w:val="464646"/>
          <w:sz w:val="24"/>
        </w:rPr>
        <w:t>B. Two-Tier Fault-Tolerant Checkpointing Architecture</w:t>
      </w:r>
    </w:p>
    <w:p>
      <w:pPr>
        <w:spacing w:after="60"/>
        <w:ind w:left="360"/>
      </w:pPr>
      <w:r>
        <w:rPr>
          <w:rFonts w:ascii="Calibri" w:hAnsi="Calibri"/>
          <w:b/>
          <w:i w:val="0"/>
          <w:color w:val="1A56A0"/>
          <w:sz w:val="22"/>
        </w:rPr>
        <w:t xml:space="preserve">• </w:t>
      </w:r>
      <w:r>
        <w:rPr>
          <w:rFonts w:ascii="Calibri" w:hAnsi="Calibri"/>
          <w:b/>
          <w:i w:val="0"/>
          <w:color w:val="1E1E1E"/>
          <w:sz w:val="22"/>
        </w:rPr>
        <w:t xml:space="preserve">The Problem: </w:t>
      </w:r>
      <w:r>
        <w:rPr>
          <w:rFonts w:ascii="Calibri" w:hAnsi="Calibri"/>
          <w:b w:val="0"/>
          <w:i w:val="0"/>
          <w:color w:val="282828"/>
          <w:sz w:val="21"/>
        </w:rPr>
        <w:t>Streamlit session state resets on page reloads or browser disconnects. Any crash lost all completed metric computations.</w:t>
      </w:r>
    </w:p>
    <w:p>
      <w:pPr>
        <w:spacing w:after="60"/>
        <w:ind w:left="360"/>
      </w:pPr>
      <w:r>
        <w:rPr>
          <w:rFonts w:ascii="Calibri" w:hAnsi="Calibri"/>
          <w:b/>
          <w:i w:val="0"/>
          <w:color w:val="1A56A0"/>
          <w:sz w:val="22"/>
        </w:rPr>
        <w:t xml:space="preserve">• </w:t>
      </w:r>
      <w:r>
        <w:rPr>
          <w:rFonts w:ascii="Calibri" w:hAnsi="Calibri"/>
          <w:b/>
          <w:i w:val="0"/>
          <w:color w:val="1E1E1E"/>
          <w:sz w:val="22"/>
        </w:rPr>
        <w:t xml:space="preserve">Sample-Level Checkpointing: </w:t>
      </w:r>
      <w:r>
        <w:rPr>
          <w:rFonts w:ascii="Calibri" w:hAnsi="Calibri"/>
          <w:b w:val="0"/>
          <w:i w:val="0"/>
          <w:color w:val="282828"/>
          <w:sz w:val="21"/>
        </w:rPr>
        <w:t>Every individual evaluation score is written to evals/metric_results.json immediately. Re-runs check the sample cache and skip duplicate LLM calls.</w:t>
      </w:r>
    </w:p>
    <w:p>
      <w:pPr>
        <w:spacing w:after="60"/>
        <w:ind w:left="360"/>
      </w:pPr>
      <w:r>
        <w:rPr>
          <w:rFonts w:ascii="Calibri" w:hAnsi="Calibri"/>
          <w:b/>
          <w:i w:val="0"/>
          <w:color w:val="1A56A0"/>
          <w:sz w:val="22"/>
        </w:rPr>
        <w:t xml:space="preserve">• </w:t>
      </w:r>
      <w:r>
        <w:rPr>
          <w:rFonts w:ascii="Calibri" w:hAnsi="Calibri"/>
          <w:b/>
          <w:i w:val="0"/>
          <w:color w:val="1E1E1E"/>
          <w:sz w:val="22"/>
        </w:rPr>
        <w:t xml:space="preserve">Stage-Level Checkpointing: </w:t>
      </w:r>
      <w:r>
        <w:rPr>
          <w:rFonts w:ascii="Calibri" w:hAnsi="Calibri"/>
          <w:b w:val="0"/>
          <w:i w:val="0"/>
          <w:color w:val="282828"/>
          <w:sz w:val="21"/>
        </w:rPr>
        <w:t>Each of the 6 metric DataFrames is serialized upon completion. On Streamlit startup, load_metrics_checkpoint() auto-populates the dashboard.</w:t>
      </w:r>
    </w:p>
    <w:p>
      <w:pPr>
        <w:spacing w:before="200" w:after="80"/>
      </w:pPr>
      <w:r>
        <w:rPr>
          <w:rFonts w:ascii="Calibri" w:hAnsi="Calibri"/>
          <w:b/>
          <w:i w:val="0"/>
          <w:color w:val="464646"/>
          <w:sz w:val="24"/>
        </w:rPr>
        <w:t>C. Tool Correctness (0.0) &amp; Conversation Memory Pollution</w:t>
      </w:r>
    </w:p>
    <w:p>
      <w:pPr>
        <w:spacing w:after="60"/>
        <w:ind w:left="360"/>
      </w:pPr>
      <w:r>
        <w:rPr>
          <w:rFonts w:ascii="Calibri" w:hAnsi="Calibri"/>
          <w:b/>
          <w:i w:val="0"/>
          <w:color w:val="1A56A0"/>
          <w:sz w:val="22"/>
        </w:rPr>
        <w:t xml:space="preserve">• </w:t>
      </w:r>
      <w:r>
        <w:rPr>
          <w:rFonts w:ascii="Calibri" w:hAnsi="Calibri"/>
          <w:b/>
          <w:i w:val="0"/>
          <w:color w:val="1E1E1E"/>
          <w:sz w:val="22"/>
        </w:rPr>
        <w:t xml:space="preserve">Tool Correctness Failure: </w:t>
      </w:r>
      <w:r>
        <w:rPr>
          <w:rFonts w:ascii="Calibri" w:hAnsi="Calibri"/>
          <w:b w:val="0"/>
          <w:i w:val="0"/>
          <w:color w:val="282828"/>
          <w:sz w:val="21"/>
        </w:rPr>
        <w:t>FastAPI logged Intent -&gt; Technical. Pipeline regex checked intent: technical. Failed regex defaulted to direct_answer, resulting in 0.0 Jaccard similarity.</w:t>
      </w:r>
    </w:p>
    <w:p>
      <w:pPr>
        <w:spacing w:after="60"/>
        <w:ind w:left="360"/>
      </w:pPr>
      <w:r>
        <w:rPr>
          <w:rFonts w:ascii="Calibri" w:hAnsi="Calibri"/>
          <w:b/>
          <w:i w:val="0"/>
          <w:color w:val="1A56A0"/>
          <w:sz w:val="22"/>
        </w:rPr>
        <w:t xml:space="preserve">• </w:t>
      </w:r>
      <w:r>
        <w:rPr>
          <w:rFonts w:ascii="Calibri" w:hAnsi="Calibri"/>
          <w:b/>
          <w:i w:val="0"/>
          <w:color w:val="1E1E1E"/>
          <w:sz w:val="22"/>
        </w:rPr>
        <w:t xml:space="preserve">Memory Contamination: </w:t>
      </w:r>
      <w:r>
        <w:rPr>
          <w:rFonts w:ascii="Calibri" w:hAnsi="Calibri"/>
          <w:b w:val="0"/>
          <w:i w:val="0"/>
          <w:color w:val="282828"/>
          <w:sz w:val="21"/>
        </w:rPr>
        <w:t>Static thread IDs (eval_run_i) reused chat history in Redis across multiple runs. The model responded with conversational complaints (e.g., "We are having the same conversation again...") instead of extracting contract terms, causing Faithfulness (0.326) and Correctness (0.204) to collapse.</w:t>
      </w:r>
    </w:p>
    <w:p>
      <w:pPr>
        <w:spacing w:after="60"/>
        <w:ind w:left="360"/>
      </w:pPr>
      <w:r>
        <w:rPr>
          <w:rFonts w:ascii="Calibri" w:hAnsi="Calibri"/>
          <w:b/>
          <w:i w:val="0"/>
          <w:color w:val="1A56A0"/>
          <w:sz w:val="22"/>
        </w:rPr>
        <w:t xml:space="preserve">• </w:t>
      </w:r>
      <w:r>
        <w:rPr>
          <w:rFonts w:ascii="Calibri" w:hAnsi="Calibri"/>
          <w:b/>
          <w:i w:val="0"/>
          <w:color w:val="1E1E1E"/>
          <w:sz w:val="22"/>
        </w:rPr>
        <w:t xml:space="preserve">The Fix: </w:t>
      </w:r>
      <w:r>
        <w:rPr>
          <w:rFonts w:ascii="Calibri" w:hAnsi="Calibri"/>
          <w:b w:val="0"/>
          <w:i w:val="0"/>
          <w:color w:val="282828"/>
          <w:sz w:val="21"/>
        </w:rPr>
        <w:t>Assigned unique UUID thread IDs (eval_uuid_i) to isolate every test sample. Updated detect_tool() to match technical, vector search, and graph rag. Expanded response buffer from 300 to 2000 characters.</w:t>
      </w:r>
    </w:p>
    <w:p>
      <w:pPr>
        <w:spacing w:before="280" w:after="120"/>
      </w:pPr>
      <w:r>
        <w:rPr>
          <w:rFonts w:ascii="Calibri" w:hAnsi="Calibri"/>
          <w:b/>
          <w:i w:val="0"/>
          <w:color w:val="1A56A0"/>
          <w:sz w:val="28"/>
        </w:rPr>
        <w:t>4. Verification &amp; Validation</w:t>
      </w:r>
    </w:p>
    <w:p>
      <w:pPr>
        <w:spacing w:after="60"/>
        <w:ind w:left="360"/>
      </w:pPr>
      <w:r>
        <w:rPr>
          <w:rFonts w:ascii="Calibri" w:hAnsi="Calibri"/>
          <w:b/>
          <w:i w:val="0"/>
          <w:color w:val="1A56A0"/>
          <w:sz w:val="22"/>
        </w:rPr>
        <w:t xml:space="preserve">• </w:t>
      </w:r>
      <w:r>
        <w:rPr>
          <w:rFonts w:ascii="Calibri" w:hAnsi="Calibri"/>
          <w:b/>
          <w:i w:val="0"/>
          <w:color w:val="1E1E1E"/>
          <w:sz w:val="22"/>
        </w:rPr>
        <w:t xml:space="preserve">Live Query Test: </w:t>
      </w:r>
      <w:r>
        <w:rPr>
          <w:rFonts w:ascii="Calibri" w:hAnsi="Calibri"/>
          <w:b w:val="0"/>
          <w:i w:val="0"/>
          <w:color w:val="282828"/>
          <w:sz w:val="21"/>
        </w:rPr>
        <w:t>Executed live query with fresh thread ID. Returned full legal answer with 100% reference accuracy and correct retrieve_documents tool classification.</w:t>
      </w:r>
    </w:p>
    <w:p>
      <w:pPr>
        <w:spacing w:after="60"/>
        <w:ind w:left="360"/>
      </w:pPr>
      <w:r>
        <w:rPr>
          <w:rFonts w:ascii="Calibri" w:hAnsi="Calibri"/>
          <w:b/>
          <w:i w:val="0"/>
          <w:color w:val="1A56A0"/>
          <w:sz w:val="22"/>
        </w:rPr>
        <w:t xml:space="preserve">• </w:t>
      </w:r>
      <w:r>
        <w:rPr>
          <w:rFonts w:ascii="Calibri" w:hAnsi="Calibri"/>
          <w:b/>
          <w:i w:val="0"/>
          <w:color w:val="1E1E1E"/>
          <w:sz w:val="22"/>
        </w:rPr>
        <w:t xml:space="preserve">Checkpoint Verification: </w:t>
      </w:r>
      <w:r>
        <w:rPr>
          <w:rFonts w:ascii="Calibri" w:hAnsi="Calibri"/>
          <w:b w:val="0"/>
          <w:i w:val="0"/>
          <w:color w:val="282828"/>
          <w:sz w:val="21"/>
        </w:rPr>
        <w:t>Verified instant resume capability: sample-level cache hits, stage-level restoration, and zero duplicate API calls.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