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0080"/>
          <w:sz w:val="56"/>
        </w:rPr>
        <w:t>Air Quality Data Analysis</w:t>
      </w:r>
    </w:p>
    <w:p>
      <w:pPr>
        <w:spacing w:after="80"/>
      </w:pPr>
      <w:r>
        <w:rPr>
          <w:b w:val="0"/>
          <w:i/>
          <w:color w:val="555566"/>
          <w:sz w:val="28"/>
        </w:rPr>
        <w:t>Detailed Presentation Report — A Slide-by-Slide Study Guide</w:t>
      </w:r>
    </w:p>
    <w:p>
      <w:pPr>
        <w:spacing w:after="40"/>
      </w:pPr>
      <w:r>
        <w:rPr>
          <w:b w:val="0"/>
          <w:i w:val="0"/>
          <w:color w:val="555566"/>
          <w:sz w:val="22"/>
        </w:rPr>
        <w:t>Companion document to Air_Quality_Analysis.pptx (33 slides)</w:t>
      </w:r>
    </w:p>
    <w:p>
      <w:pPr>
        <w:spacing w:after="320"/>
      </w:pPr>
      <w:r>
        <w:rPr>
          <w:b/>
          <w:i w:val="0"/>
          <w:sz w:val="22"/>
        </w:rPr>
        <w:t>Team: Aishmita · Aaska · Anupam</w:t>
      </w:r>
    </w:p>
    <w:p>
      <w:pPr>
        <w:spacing w:after="280"/>
      </w:pPr>
      <w:r>
        <w:rPr>
          <w:b w:val="0"/>
          <w:i w:val="0"/>
          <w:sz w:val="22"/>
        </w:rPr>
        <w:t>This report explains every slide in the presentation deck in detail: what is shown, why it is there, what the underlying data or code actually does, and how it connects to the overall story. It is meant to be read start to finish as study material before presenting, or used as a reference to answer questions during Q&amp;A. Slides that show a screenshot are real captures taken directly from our Jupyter notebook (Air_Quality_Analysis.ipynb) running live in a browser — not recreated or simulated — so the code, cell numbers, and output you see in the deck are exactly what our notebook produces.</w:t>
      </w:r>
    </w:p>
    <w:p>
      <w:r>
        <w:br w:type="page"/>
      </w:r>
    </w:p>
    <w:p>
      <w:pPr>
        <w:pStyle w:val="Heading1"/>
      </w:pPr>
      <w:r>
        <w:t>Part A — Opening and Module 0: Problem Analysis (Slides 1–6)</w:t>
      </w:r>
    </w:p>
    <w:p>
      <w:pPr>
        <w:spacing w:after="200"/>
      </w:pPr>
      <w:r>
        <w:rPr>
          <w:b w:val="0"/>
          <w:i/>
          <w:color w:val="555566"/>
          <w:sz w:val="22"/>
        </w:rPr>
        <w:t>Module 0 is the foundation of the whole presentation. Before any code is shown, these six slides establish what the project is about, why it matters, what data we used, and exactly what questions the rest of the deck is built to answer. Everything from Slide 7 onward exists to serve one of the goals stated here.</w:t>
      </w:r>
    </w:p>
    <w:p>
      <w:pPr>
        <w:pStyle w:val="Heading2"/>
        <w:spacing w:before="280" w:after="80"/>
      </w:pPr>
      <w:r>
        <w:rPr>
          <w:b/>
          <w:color w:val="4B0082"/>
          <w:sz w:val="30"/>
        </w:rPr>
        <w:t>Slide 1 — Title Slide</w:t>
      </w:r>
    </w:p>
    <w:p>
      <w:pPr>
        <w:spacing w:after="120"/>
      </w:pPr>
      <w:r>
        <w:rPr>
          <w:b w:val="0"/>
          <w:i w:val="0"/>
          <w:sz w:val="22"/>
        </w:rPr>
        <w:t>The opening slide. Navy-blue full-bleed background with the project title "Air Quality Data Analysis" centered in large white bold text, a subtitle line reading "Hourly Readings Across 6 Cities, 2024 | PRG-330 Final Project", and the team credit "Team: Aishmita · Aaska · Anupam" below it.</w:t>
      </w:r>
    </w:p>
    <w:p>
      <w:pPr>
        <w:spacing w:after="120"/>
      </w:pPr>
      <w:r>
        <w:rPr>
          <w:b w:val="0"/>
          <w:i w:val="0"/>
          <w:sz w:val="22"/>
        </w:rPr>
        <w:t>Purpose: establish identity and scope in the first five seconds. A reader should immediately know what the project is (air quality analysis), how big it is (6 cities, hourly, one year), what course it belongs to, and who built it. The navy color is carried through the entire deck as the primary brand color, matching the banners used in the original Jupyter notebook.</w:t>
      </w:r>
    </w:p>
    <w:p>
      <w:pPr>
        <w:pStyle w:val="Heading2"/>
        <w:spacing w:before="280" w:after="80"/>
      </w:pPr>
      <w:r>
        <w:rPr>
          <w:b/>
          <w:color w:val="4B0082"/>
          <w:sz w:val="30"/>
        </w:rPr>
        <w:t>Slide 2 — Our Storyline (Agenda)</w:t>
      </w:r>
    </w:p>
    <w:p>
      <w:pPr>
        <w:spacing w:after="120"/>
      </w:pPr>
      <w:r>
        <w:rPr>
          <w:b w:val="0"/>
          <w:i w:val="0"/>
          <w:sz w:val="22"/>
        </w:rPr>
        <w:t>A six-item bulleted roadmap of the entire presentation: (1) The Problem, (2) The Dataset, (3) Modules 1–5 — the Python foundation, (4) Modules 6–7 — Pandas/NumPy/Matplotlib analysis, (5) Module 8 — findings and conclusion, (6) Team Contribution.</w:t>
      </w:r>
    </w:p>
    <w:p>
      <w:pPr>
        <w:spacing w:after="120"/>
      </w:pPr>
      <w:r>
        <w:rPr>
          <w:b w:val="0"/>
          <w:i w:val="0"/>
          <w:sz w:val="22"/>
        </w:rPr>
        <w:t>Purpose: this is a map, not content. It tells the audience how the next ten minutes are structured before any detail is shown, so they can follow the logic rather than wonder where the presentation is going next. It mirrors the actual module structure of the Jupyter notebook exactly, so anyone who later opens the notebook will recognize the same organization.</w:t>
      </w:r>
    </w:p>
    <w:p>
      <w:pPr>
        <w:pStyle w:val="Heading2"/>
        <w:spacing w:before="280" w:after="80"/>
      </w:pPr>
      <w:r>
        <w:rPr>
          <w:b/>
          <w:color w:val="4B0082"/>
          <w:sz w:val="30"/>
        </w:rPr>
        <w:t>Slide 3 — The Story: Why Air Quality?</w:t>
      </w:r>
    </w:p>
    <w:p>
      <w:pPr>
        <w:spacing w:after="80"/>
      </w:pPr>
      <w:r>
        <w:rPr>
          <w:b/>
          <w:i w:val="0"/>
          <w:color w:val="555566"/>
          <w:sz w:val="19"/>
        </w:rPr>
        <w:t>MODULE 0</w:t>
      </w:r>
    </w:p>
    <w:p>
      <w:pPr>
        <w:spacing w:after="120"/>
      </w:pPr>
      <w:r>
        <w:rPr>
          <w:b w:val="0"/>
          <w:i w:val="0"/>
          <w:sz w:val="22"/>
        </w:rPr>
        <w:t>Opens with a one-sentence framing statement: air pollution is one of the largest environmental health risks worldwide, and the risk is not uniform — it changes by city, by season, and by which pollutant is responsible. Three bullets follow: (1) a full year of real hourly data for 6 cities is enough to answer questions with evidence instead of guesses; (2) the three questions we asked before writing any code — which city is worst, is pollution seasonal or event-driven, and which pollutant matters most; (3) a data-quality problem that surfaced while exploring the data — the CO2 column is missing 81.7% of the time, and we had to find out why before trusting any conclusion built on it.</w:t>
      </w:r>
    </w:p>
    <w:p>
      <w:pPr>
        <w:spacing w:after="120"/>
      </w:pPr>
      <w:r>
        <w:rPr>
          <w:b w:val="0"/>
          <w:i w:val="0"/>
          <w:sz w:val="22"/>
        </w:rPr>
        <w:t>Purpose: this is the motivational hook. It answers "why should anyone care about this project" before getting into mechanics. It also previews the CO2 problem early, so when it resurfaces in Module 6 the audience already has context for why it is a big deal.</w:t>
      </w:r>
    </w:p>
    <w:p>
      <w:pPr>
        <w:pStyle w:val="Heading2"/>
        <w:spacing w:before="280" w:after="80"/>
      </w:pPr>
      <w:r>
        <w:rPr>
          <w:b/>
          <w:color w:val="4B0082"/>
          <w:sz w:val="30"/>
        </w:rPr>
        <w:t>Slide 4 — Problem Identification</w:t>
      </w:r>
    </w:p>
    <w:p>
      <w:pPr>
        <w:spacing w:after="80"/>
      </w:pPr>
      <w:r>
        <w:rPr>
          <w:b/>
          <w:i w:val="0"/>
          <w:color w:val="555566"/>
          <w:sz w:val="19"/>
        </w:rPr>
        <w:t>MODULE 0</w:t>
      </w:r>
    </w:p>
    <w:p>
      <w:pPr>
        <w:spacing w:after="120"/>
      </w:pPr>
      <w:r>
        <w:rPr>
          <w:b w:val="0"/>
          <w:i w:val="0"/>
          <w:sz w:val="22"/>
        </w:rPr>
        <w:t>Four numbered questions, each in its own row with a navy number badge: (1) Which cities have the worst and best air quality, and by how much? (2) Does air quality change predictably across the year, and when is it worst? (3) Are the worst pollution hours spread evenly across the year, or concentrated in specific events? (4) Which pollutants are the strongest drivers of the overall Air Quality Index (AQI)? A highlighted red callout box below adds a fifth, data-quality question: the CO2 column is missing 81.7% of all rows — why, and what do we honestly do about it?</w:t>
      </w:r>
    </w:p>
    <w:p>
      <w:pPr>
        <w:spacing w:after="120"/>
      </w:pPr>
      <w:r>
        <w:rPr>
          <w:b w:val="0"/>
          <w:i w:val="0"/>
          <w:sz w:val="22"/>
        </w:rPr>
        <w:t>Purpose: this slide is the contract for the whole project. Every later finding in Module 8 maps back to exactly one of these five questions. Presenting them as numbered, concrete questions (rather than a vague goal like "analyze air quality") is what makes the project measurable — each question gets a specific, numeric answer by the end.</w:t>
      </w:r>
    </w:p>
    <w:p>
      <w:pPr>
        <w:pStyle w:val="Heading2"/>
        <w:spacing w:before="280" w:after="80"/>
      </w:pPr>
      <w:r>
        <w:rPr>
          <w:b/>
          <w:color w:val="4B0082"/>
          <w:sz w:val="30"/>
        </w:rPr>
        <w:t>Slide 5 — The Dataset</w:t>
      </w:r>
    </w:p>
    <w:p>
      <w:pPr>
        <w:spacing w:after="80"/>
      </w:pPr>
      <w:r>
        <w:rPr>
          <w:b/>
          <w:i w:val="0"/>
          <w:color w:val="555566"/>
          <w:sz w:val="19"/>
        </w:rPr>
        <w:t>MODULE 0</w:t>
      </w:r>
    </w:p>
    <w:p>
      <w:pPr>
        <w:spacing w:after="120"/>
      </w:pPr>
      <w:r>
        <w:rPr>
          <w:b w:val="0"/>
          <w:i w:val="0"/>
          <w:sz w:val="22"/>
        </w:rPr>
        <w:t>Two-column layout. Left side: three grouped bullet facts — 52,704 hourly readings (366 days × 24 hours × 6 cities, since 2024 is a leap year), 6 cities spanning 6 continents (Brasilia, Cairo, Dubai, London, New York, Sydney), and 10 columns (Date, City, 7 pollutants, and AQI) — followed by a table listing every column, what it measures, and its unit (CO in ppb, CO2 in ppm and only recorded from 26 Oct 2024 onward, NO2/SO2/O3 in ppb, PM2.5/PM10 in µg/m³, and AQI as a 0–500 index). Right side: a real screenshot of df.head() run in our notebook, showing the first five actual rows of data exactly as Pandas displays them, followed by a highlighted note explaining that AQI is the column every later comparison is built around.</w:t>
      </w:r>
    </w:p>
    <w:p>
      <w:pPr>
        <w:spacing w:after="120"/>
      </w:pPr>
      <w:r>
        <w:rPr>
          <w:b w:val="0"/>
          <w:i w:val="0"/>
          <w:sz w:val="22"/>
        </w:rPr>
        <w:t>Purpose: before anyone can trust a conclusion, they need to know what the raw data actually looks like. Showing a real df.head() screenshot (not a mock-up) proves the numbers used throughout the rest of the deck come from this exact file, not from invented examples.</w:t>
      </w:r>
    </w:p>
    <w:p>
      <w:pPr>
        <w:pStyle w:val="Heading2"/>
        <w:spacing w:before="280" w:after="80"/>
      </w:pPr>
      <w:r>
        <w:rPr>
          <w:b/>
          <w:color w:val="4B0082"/>
          <w:sz w:val="30"/>
        </w:rPr>
        <w:t>Slide 6 — Objective</w:t>
      </w:r>
    </w:p>
    <w:p>
      <w:pPr>
        <w:spacing w:after="80"/>
      </w:pPr>
      <w:r>
        <w:rPr>
          <w:b/>
          <w:i w:val="0"/>
          <w:color w:val="555566"/>
          <w:sz w:val="19"/>
        </w:rPr>
        <w:t>MODULE 0</w:t>
      </w:r>
    </w:p>
    <w:p>
      <w:pPr>
        <w:spacing w:after="120"/>
      </w:pPr>
      <w:r>
        <w:rPr>
          <w:b w:val="0"/>
          <w:i w:val="0"/>
          <w:sz w:val="22"/>
        </w:rPr>
        <w:t>A bold one-line objective statement: "Find out which city has the worst air quality, why, and what's driving it — using a full year of real hourly data across six cities." Below it, five bullets restate the Problem Identification questions as action items: rank the cities and measure the gap; check for a seasonal pattern; find out if the worst hours are a trend or a one-off event; identify the strongest pollutant driver of AQI; and decide honestly what to do with the mostly-missing CO2 column.</w:t>
      </w:r>
    </w:p>
    <w:p>
      <w:pPr>
        <w:spacing w:after="120"/>
      </w:pPr>
      <w:r>
        <w:rPr>
          <w:b w:val="0"/>
          <w:i w:val="0"/>
          <w:sz w:val="22"/>
        </w:rPr>
        <w:t>Purpose: closes out Module 0 by converting the open-ended questions into a single, memorable objective sentence — the kind of line a judge or professor could repeat back after the presentation ends. This is deliberately the last slide before the code starts, so it is the mental frame the audience carries into every module that follows.</w:t>
      </w:r>
    </w:p>
    <w:p>
      <w:r>
        <w:br w:type="page"/>
      </w:r>
    </w:p>
    <w:p>
      <w:pPr>
        <w:pStyle w:val="Heading1"/>
      </w:pPr>
      <w:r>
        <w:t>Part B — Modules 1–5: The Python Foundation (Slides 7–16)</w:t>
      </w:r>
    </w:p>
    <w:p>
      <w:pPr>
        <w:spacing w:after="200"/>
      </w:pPr>
      <w:r>
        <w:rPr>
          <w:b w:val="0"/>
          <w:i/>
          <w:color w:val="555566"/>
          <w:sz w:val="22"/>
        </w:rPr>
        <w:t>Each of these five modules follows the same two-slide pattern: a full-screen color divider slide announcing the module name and a one-line description, followed by one slide containing a real, full-browser screenshot taken directly from our Jupyter notebook — complete with the Jupyter toolbar, the "Not Trusted" badge, the kernel name, and the actual execution-count numbers (e.g. [1], [9], [16]) that prove the cell was really run. These five modules build up core Python skills by hand, without any external library, before Pandas is introduced in Module 6.</w:t>
      </w:r>
    </w:p>
    <w:p>
      <w:pPr>
        <w:spacing w:after="40"/>
      </w:pPr>
      <w:r>
        <w:rPr>
          <w:b/>
          <w:i w:val="0"/>
          <w:color w:val="000080"/>
          <w:sz w:val="26"/>
        </w:rPr>
        <w:t>Slide 7 — Module 7 Divider: “Variables and Data Types”</w:t>
      </w:r>
    </w:p>
    <w:p>
      <w:pPr>
        <w:spacing w:after="200"/>
      </w:pPr>
      <w:r>
        <w:rPr>
          <w:b w:val="0"/>
          <w:i w:val="0"/>
          <w:sz w:val="21"/>
        </w:rPr>
        <w:t>A full-color transition slide reading “MODULE 7”, the module title “Variables and Data Types”, and the subtitle “Pulling one real observation apart, by hand”. Its only job is to signal a topic change and give the audience a second to reset before the next code screenshot.</w:t>
      </w:r>
    </w:p>
    <w:p>
      <w:pPr>
        <w:pStyle w:val="Heading2"/>
        <w:spacing w:before="280" w:after="80"/>
      </w:pPr>
      <w:r>
        <w:rPr>
          <w:b/>
          <w:color w:val="4B0082"/>
          <w:sz w:val="30"/>
        </w:rPr>
        <w:t>Slide 8 — Module 1 — Variables &amp; Data Types</w:t>
      </w:r>
    </w:p>
    <w:p>
      <w:pPr>
        <w:spacing w:after="80"/>
      </w:pPr>
      <w:r>
        <w:rPr>
          <w:b/>
          <w:i w:val="0"/>
          <w:color w:val="555566"/>
          <w:sz w:val="19"/>
        </w:rPr>
        <w:t>MODULE 1</w:t>
      </w:r>
    </w:p>
    <w:p>
      <w:pPr>
        <w:spacing w:after="120"/>
      </w:pPr>
      <w:r>
        <w:rPr>
          <w:b w:val="0"/>
          <w:i w:val="0"/>
          <w:sz w:val="22"/>
        </w:rPr>
        <w:t>This is the first real code of the presentation. It shows cell [1] and [2] of the notebook: one real observation from the dataset (Sydney, 31 December 2024, 23:00) broken apart into nine separate named variables, followed by a second cell that calls Python's built-in type() function to confirm each variable was stored as the expected type.</w:t>
      </w:r>
    </w:p>
    <w:p>
      <w:pPr>
        <w:spacing w:after="60"/>
      </w:pPr>
      <w:r>
        <w:rPr>
          <w:b/>
          <w:i w:val="0"/>
          <w:sz w:val="21"/>
        </w:rPr>
        <w:t>What the screenshot actually shows:</w:t>
      </w:r>
    </w:p>
    <w:p>
      <w:pPr>
        <w:spacing w:after="240"/>
      </w:pPr>
      <w:r>
        <w:rPr>
          <w:b w:val="0"/>
          <w:i w:val="0"/>
          <w:sz w:val="21"/>
        </w:rPr>
        <w:t>record_date and record_city are stored as plain text (str) because they are written in quotes. Eight pollutant readings (co_level, co2_level, no2_level, so2_level, o3_level, pm25_level, pm10_level, aqi_value) are stored as float because they are written with a decimal point. record_count (52704, the total row count of the whole dataset) has no decimal point, so Python infers int. is_high_pollution_day is set to the boolean False as a placeholder — Module 2 replaces it with a real condition. The output directly below the code confirms: “2024-12-31 23:00 Sydney 29.6”, and the second cell's output lists each variable's class: &lt;class 'str'&gt;, &lt;class 'float'&gt;, &lt;class 'int'&gt;, &lt;class 'bool'&gt;.</w:t>
      </w:r>
    </w:p>
    <w:p>
      <w:pPr>
        <w:spacing w:after="40"/>
      </w:pPr>
      <w:r>
        <w:rPr>
          <w:b/>
          <w:i w:val="0"/>
          <w:color w:val="000080"/>
          <w:sz w:val="26"/>
        </w:rPr>
        <w:t>Slide 9 — Module 9 Divider: “Operators &amp; Conditional Statements”</w:t>
      </w:r>
    </w:p>
    <w:p>
      <w:pPr>
        <w:spacing w:after="200"/>
      </w:pPr>
      <w:r>
        <w:rPr>
          <w:b w:val="0"/>
          <w:i w:val="0"/>
          <w:sz w:val="21"/>
        </w:rPr>
        <w:t>A full-color transition slide reading “MODULE 9”, the module title “Operators &amp; Conditional Statements”, and the subtitle “Arithmetic, comparison, logical operators, and a hand-written AQI classifier”. Its only job is to signal a topic change and give the audience a second to reset before the next code screenshot.</w:t>
      </w:r>
    </w:p>
    <w:p>
      <w:pPr>
        <w:pStyle w:val="Heading2"/>
        <w:spacing w:before="280" w:after="80"/>
      </w:pPr>
      <w:r>
        <w:rPr>
          <w:b/>
          <w:color w:val="4B0082"/>
          <w:sz w:val="30"/>
        </w:rPr>
        <w:t>Slide 10 — Module 2 — AQI Classification</w:t>
      </w:r>
    </w:p>
    <w:p>
      <w:pPr>
        <w:spacing w:after="80"/>
      </w:pPr>
      <w:r>
        <w:rPr>
          <w:b/>
          <w:i w:val="0"/>
          <w:color w:val="555566"/>
          <w:sz w:val="19"/>
        </w:rPr>
        <w:t>MODULE 2</w:t>
      </w:r>
    </w:p>
    <w:p>
      <w:pPr>
        <w:spacing w:after="120"/>
      </w:pPr>
      <w:r>
        <w:rPr>
          <w:b w:val="0"/>
          <w:i w:val="0"/>
          <w:sz w:val="22"/>
        </w:rPr>
        <w:t>This screenshot captures cells [9] and [10] — the heart of Module 2. By this point the notebook has already built two full records as dictionaries (sydney_record and dubai_record) and exercised every arithmetic, comparison, logical, and assignment operator on them. The slide focuses on the most important part: classifying a record's AQI value into an EPA-style category using a chain of if / elif / else statements.</w:t>
      </w:r>
    </w:p>
    <w:p>
      <w:pPr>
        <w:spacing w:after="60"/>
      </w:pPr>
      <w:r>
        <w:rPr>
          <w:b/>
          <w:i w:val="0"/>
          <w:sz w:val="21"/>
        </w:rPr>
        <w:t>What the screenshot actually shows:</w:t>
      </w:r>
    </w:p>
    <w:p>
      <w:pPr>
        <w:spacing w:after="240"/>
      </w:pPr>
      <w:r>
        <w:rPr>
          <w:b w:val="0"/>
          <w:i w:val="0"/>
          <w:sz w:val="21"/>
        </w:rPr>
        <w:t>aqi = sydney_record["AQI"] pulls the value out of the dictionary. The if/elif chain checks it against the real EPA breakpoints in order: &lt;=50 is “Good”, &lt;=100 is “Moderate”, &lt;=150 is “Unhealthy for Sensitive Groups”, &lt;=200 is “Unhealthy”, &lt;=300 is “Very Unhealthy”, and anything higher falls into the final else, “Hazardous”. The output for cell [9] reads “Sydney AQI = 29.6 -&gt; category: Good”. The same exact chain then runs a second time on dubai_record (cell [10]), which — because Dubai's AQI of 196.63 was deliberately chosen as the worst hour of the year — returns “Unhealthy”, giving the audience a clear before/after contrast between a clean city and a polluted one using identical logic.</w:t>
      </w:r>
    </w:p>
    <w:p>
      <w:pPr>
        <w:spacing w:after="40"/>
      </w:pPr>
      <w:r>
        <w:rPr>
          <w:b/>
          <w:i w:val="0"/>
          <w:color w:val="000080"/>
          <w:sz w:val="26"/>
        </w:rPr>
        <w:t>Slide 11 — Module 11 Divider: “Loops”</w:t>
      </w:r>
    </w:p>
    <w:p>
      <w:pPr>
        <w:spacing w:after="200"/>
      </w:pPr>
      <w:r>
        <w:rPr>
          <w:b w:val="0"/>
          <w:i w:val="0"/>
          <w:sz w:val="21"/>
        </w:rPr>
        <w:t>A full-color transition slide reading “MODULE 11”, the module title “Loops”, and the subtitle “for, conditional for, and while — over 12 real records”. Its only job is to signal a topic change and give the audience a second to reset before the next code screenshot.</w:t>
      </w:r>
    </w:p>
    <w:p>
      <w:pPr>
        <w:pStyle w:val="Heading2"/>
        <w:spacing w:before="280" w:after="80"/>
      </w:pPr>
      <w:r>
        <w:rPr>
          <w:b/>
          <w:color w:val="4B0082"/>
          <w:sz w:val="30"/>
        </w:rPr>
        <w:t>Slide 12 — Module 3 — The while Loop</w:t>
      </w:r>
    </w:p>
    <w:p>
      <w:pPr>
        <w:spacing w:after="80"/>
      </w:pPr>
      <w:r>
        <w:rPr>
          <w:b/>
          <w:i w:val="0"/>
          <w:color w:val="555566"/>
          <w:sz w:val="19"/>
        </w:rPr>
        <w:t>MODULE 3</w:t>
      </w:r>
    </w:p>
    <w:p>
      <w:pPr>
        <w:spacing w:after="120"/>
      </w:pPr>
      <w:r>
        <w:rPr>
          <w:b w:val="0"/>
          <w:i w:val="0"/>
          <w:sz w:val="22"/>
        </w:rPr>
        <w:t>Module 3 introduces 12 real records (two per city — one from February, one from December) as a list of dictionaries, then demonstrates three loop patterns: a basic for loop that totals AQI, a for loop with a condition inside that flags high-AQI records, and a loop that finds the worst record without using Python's built-in max(). The slide specifically screenshots the fourth and most interesting loop: the while loop (cell [15]).</w:t>
      </w:r>
    </w:p>
    <w:p>
      <w:pPr>
        <w:spacing w:after="60"/>
      </w:pPr>
      <w:r>
        <w:rPr>
          <w:b/>
          <w:i w:val="0"/>
          <w:sz w:val="21"/>
        </w:rPr>
        <w:t>What the screenshot actually shows:</w:t>
      </w:r>
    </w:p>
    <w:p>
      <w:pPr>
        <w:spacing w:after="240"/>
      </w:pPr>
      <w:r>
        <w:rPr>
          <w:b w:val="0"/>
          <w:i w:val="0"/>
          <w:sz w:val="21"/>
        </w:rPr>
        <w:t>A while loop is used here instead of for because the goal is different: stop as soon as something is found, rather than visit every item regardless. index and found_missing_co2 are initialized before the loop. The while condition — index &lt; len(sample_records) and not found_missing_co2 — keeps the loop running only while both there are records left AND nothing has been found yet. Inside, if sample_records[index]["CO2"] is None: sets the flag to True the moment a missing value is found, which causes the loop to exit on the very next check. The output: “First record with missing CO2 -&gt; Brasilia on 2024-02-11 16:00”. This is the first hint of the CO2 problem that Module 6 investigates in full — six of the twelve sample records (half!) have no CO2 value, foreshadowing the 81.7%-missing finding later.</w:t>
      </w:r>
    </w:p>
    <w:p>
      <w:pPr>
        <w:spacing w:after="40"/>
      </w:pPr>
      <w:r>
        <w:rPr>
          <w:b/>
          <w:i w:val="0"/>
          <w:color w:val="000080"/>
          <w:sz w:val="26"/>
        </w:rPr>
        <w:t>Slide 13 — Module 13 Divider: “Functions”</w:t>
      </w:r>
    </w:p>
    <w:p>
      <w:pPr>
        <w:spacing w:after="200"/>
      </w:pPr>
      <w:r>
        <w:rPr>
          <w:b w:val="0"/>
          <w:i w:val="0"/>
          <w:sz w:val="21"/>
        </w:rPr>
        <w:t>A full-color transition slide reading “MODULE 13”, the module title “Functions”, and the subtitle “Wrapping Module 2 &amp; 3's logic into reusable building blocks”. Its only job is to signal a topic change and give the audience a second to reset before the next code screenshot.</w:t>
      </w:r>
    </w:p>
    <w:p>
      <w:pPr>
        <w:pStyle w:val="Heading2"/>
        <w:spacing w:before="280" w:after="80"/>
      </w:pPr>
      <w:r>
        <w:rPr>
          <w:b/>
          <w:color w:val="4B0082"/>
          <w:sz w:val="30"/>
        </w:rPr>
        <w:t>Slide 14 — Module 4 — Reusable Functions</w:t>
      </w:r>
    </w:p>
    <w:p>
      <w:pPr>
        <w:spacing w:after="80"/>
      </w:pPr>
      <w:r>
        <w:rPr>
          <w:b/>
          <w:i w:val="0"/>
          <w:color w:val="555566"/>
          <w:sz w:val="19"/>
        </w:rPr>
        <w:t>MODULE 4</w:t>
      </w:r>
    </w:p>
    <w:p>
      <w:pPr>
        <w:spacing w:after="120"/>
      </w:pPr>
      <w:r>
        <w:rPr>
          <w:b w:val="0"/>
          <w:i w:val="0"/>
          <w:sz w:val="22"/>
        </w:rPr>
        <w:t>Module 4 is where the project stops repeating itself. Everything written out by hand in Modules 2 and 3 — the AQI classification chain, the total/average loops — gets wrapped into four proper Python functions, each with a docstring, so later modules can call them instead of retyping the logic.</w:t>
      </w:r>
    </w:p>
    <w:p>
      <w:pPr>
        <w:spacing w:after="60"/>
      </w:pPr>
      <w:r>
        <w:rPr>
          <w:b/>
          <w:i w:val="0"/>
          <w:sz w:val="21"/>
        </w:rPr>
        <w:t>What the screenshot actually shows:</w:t>
      </w:r>
    </w:p>
    <w:p>
      <w:pPr>
        <w:spacing w:after="240"/>
      </w:pPr>
      <w:r>
        <w:rPr>
          <w:b w:val="0"/>
          <w:i w:val="0"/>
          <w:sz w:val="21"/>
        </w:rPr>
        <w:t>calculate_total(values) loops through a list and sums it with a running total. calculate_average(values) calls calculate_total() internally (one function reusing another) and guards against dividing by zero with an early return 0 if the list is empty. classify_aqi(aqi) is the exact if/elif/else chain from Module 2, now living inside a function and using return instead of print, so the caller decides what to do with the result. is_high_pollution(pm25, pm10, pm25_limit=35, pm10_limit=150) introduces default parameter values — it can be called with just two arguments and use 35/150 automatically, or a caller can override those thresholds. These four functions are called throughout every module from here on, including inside Module 6's Pandas analysis.</w:t>
      </w:r>
    </w:p>
    <w:p>
      <w:pPr>
        <w:spacing w:after="40"/>
      </w:pPr>
      <w:r>
        <w:rPr>
          <w:b/>
          <w:i w:val="0"/>
          <w:color w:val="000080"/>
          <w:sz w:val="26"/>
        </w:rPr>
        <w:t>Slide 15 — Module 15 Divider: “File I/O”</w:t>
      </w:r>
    </w:p>
    <w:p>
      <w:pPr>
        <w:spacing w:after="200"/>
      </w:pPr>
      <w:r>
        <w:rPr>
          <w:b w:val="0"/>
          <w:i w:val="0"/>
          <w:sz w:val="21"/>
        </w:rPr>
        <w:t>A full-color transition slide reading “MODULE 15”, the module title “File I/O”, and the subtitle “Reading the real 52,704-row CSV directly with open()”. Its only job is to signal a topic change and give the audience a second to reset before the next code screenshot.</w:t>
      </w:r>
    </w:p>
    <w:p>
      <w:pPr>
        <w:pStyle w:val="Heading2"/>
        <w:spacing w:before="280" w:after="80"/>
      </w:pPr>
      <w:r>
        <w:rPr>
          <w:b/>
          <w:color w:val="4B0082"/>
          <w:sz w:val="30"/>
        </w:rPr>
        <w:t>Slide 16 — Module 5 — Reading the Raw CSV</w:t>
      </w:r>
    </w:p>
    <w:p>
      <w:pPr>
        <w:spacing w:after="80"/>
      </w:pPr>
      <w:r>
        <w:rPr>
          <w:b/>
          <w:i w:val="0"/>
          <w:color w:val="555566"/>
          <w:sz w:val="19"/>
        </w:rPr>
        <w:t>MODULE 5</w:t>
      </w:r>
    </w:p>
    <w:p>
      <w:pPr>
        <w:spacing w:after="120"/>
      </w:pPr>
      <w:r>
        <w:rPr>
          <w:b w:val="0"/>
          <w:i w:val="0"/>
          <w:sz w:val="22"/>
        </w:rPr>
        <w:t>Before Pandas is introduced, Module 5 proves the raw file can be read with nothing but Python's built-in open() function. The screenshot shows compute_aqi_stats_from_csv(), which reads up to 2,000 data rows directly from Air_Quality.csv, splits each line into fields by hand, and totals the AQI column manually.</w:t>
      </w:r>
    </w:p>
    <w:p>
      <w:pPr>
        <w:spacing w:after="60"/>
      </w:pPr>
      <w:r>
        <w:rPr>
          <w:b/>
          <w:i w:val="0"/>
          <w:sz w:val="21"/>
        </w:rPr>
        <w:t>What the screenshot actually shows:</w:t>
      </w:r>
    </w:p>
    <w:p>
      <w:pPr>
        <w:spacing w:after="240"/>
      </w:pPr>
      <w:r>
        <w:rPr>
          <w:b w:val="0"/>
          <w:i w:val="0"/>
          <w:sz w:val="21"/>
        </w:rPr>
        <w:t>with open(path, "r") as file: opens the file safely — the with block guarantees it closes automatically even if something goes wrong partway through. file.readline() is called once on its own to skip the header row, then for line in file: iterates the rest of the file one line at a time. if line_count &gt;= max_lines: break stops the loop early once 2,000 rows have been read, which is why this function stays fast even though the real file has 52,704 rows. line.strip().split(",") turns each raw text line into a list of string fields (since a CSV file separates values with commas), and float(fields[9]) converts the 10th column (AQI) from text into a number before adding it to the running total. The printed output confirms: 2,000 lines read, with a total and average AQI calculated purely from manual file reading — this is the manual version of what Pandas automates in a single line in Module 6.</w:t>
      </w:r>
    </w:p>
    <w:p>
      <w:r>
        <w:br w:type="page"/>
      </w:r>
    </w:p>
    <w:p>
      <w:pPr>
        <w:pStyle w:val="Heading1"/>
      </w:pPr>
      <w:r>
        <w:t>Part C — Module 6: Pandas + NumPy Analysis (Slides 17–20)</w:t>
      </w:r>
    </w:p>
    <w:p>
      <w:pPr>
        <w:spacing w:after="200"/>
      </w:pPr>
      <w:r>
        <w:rPr>
          <w:b w:val="0"/>
          <w:i/>
          <w:color w:val="555566"/>
          <w:sz w:val="22"/>
        </w:rPr>
        <w:t>Module 6 is the pivot point of the entire project: it is where the analysis stops being about small hand-typed examples and starts running on the full, real 52,704-row dataset. It is jointly owned by Aaska (the Pandas half) and Anupam (the NumPy half), and it directly produces the evidence behind five of the six Major Findings in Module 8.</w:t>
      </w:r>
    </w:p>
    <w:p>
      <w:pPr>
        <w:spacing w:after="40"/>
      </w:pPr>
      <w:r>
        <w:rPr>
          <w:b/>
          <w:i w:val="0"/>
          <w:color w:val="000080"/>
          <w:sz w:val="26"/>
        </w:rPr>
        <w:t>Slide 17 — Module 6 Divider: “Pandas + NumPy Analysis”</w:t>
      </w:r>
    </w:p>
    <w:p>
      <w:pPr>
        <w:spacing w:after="200"/>
      </w:pPr>
      <w:r>
        <w:rPr>
          <w:b w:val="0"/>
          <w:i w:val="0"/>
          <w:sz w:val="21"/>
        </w:rPr>
        <w:t>Transition slide reading “MODULE 6”, title “Pandas + NumPy Analysis”, subtitle “Scaling up to the full dataset — and the CO2 investigation”.</w:t>
      </w:r>
    </w:p>
    <w:p>
      <w:pPr>
        <w:pStyle w:val="Heading2"/>
        <w:spacing w:before="280" w:after="80"/>
      </w:pPr>
      <w:r>
        <w:rPr>
          <w:b/>
          <w:color w:val="4B0082"/>
          <w:sz w:val="30"/>
        </w:rPr>
        <w:t>Slide 18 — Module 6 — The City Ranking</w:t>
      </w:r>
    </w:p>
    <w:p>
      <w:pPr>
        <w:spacing w:after="80"/>
      </w:pPr>
      <w:r>
        <w:rPr>
          <w:b/>
          <w:i w:val="0"/>
          <w:color w:val="555566"/>
          <w:sz w:val="19"/>
        </w:rPr>
        <w:t>MODULE 6</w:t>
      </w:r>
    </w:p>
    <w:p>
      <w:pPr>
        <w:spacing w:after="120"/>
      </w:pPr>
      <w:r>
        <w:rPr>
          <w:b w:val="0"/>
          <w:i w:val="0"/>
          <w:sz w:val="22"/>
        </w:rPr>
        <w:t>This is arguably the single most important slide in the deck — it produces the headline number of the entire project. The screenshot shows summarize_by_city(df) being defined and called, with its full output table visible directly underneath.</w:t>
      </w:r>
    </w:p>
    <w:p>
      <w:pPr>
        <w:spacing w:after="60"/>
      </w:pPr>
      <w:r>
        <w:rPr>
          <w:b/>
          <w:i w:val="0"/>
          <w:sz w:val="21"/>
        </w:rPr>
        <w:t>What the screenshot actually shows:</w:t>
      </w:r>
    </w:p>
    <w:p>
      <w:pPr>
        <w:spacing w:after="240"/>
      </w:pPr>
      <w:r>
        <w:rPr>
          <w:b w:val="0"/>
          <w:i w:val="0"/>
          <w:sz w:val="21"/>
        </w:rPr>
        <w:t>df.groupby("City")[["CO","NO2","SO2","O3","PM2.5","PM10","AQI"]].mean().round(2) groups every one of the 52,704 rows by city, then computes the average of seven columns within each group in a single line — this is the Pandas equivalent of the manual loop from Module 5, but running on the full dataset instead of 2,000 rows. CO2 is deliberately left out of this list, because — as the next slide explains — it cannot be fairly averaged across the full year. .sort_values("AQI", ascending=False) then re-orders the result so the worst city appears first. The output table is the actual result: Dubai at the top with an AQI of 85.11, followed by Cairo (52.49), New York (32.88), London (27.10), Sydney (25.77), and Brasilia at the bottom with 24.75 — the cleanest of the six. This ~60-point gap between Dubai and Brasilia becomes Major Finding #1 and the #1-ranked deciding factor in the Conclusion Analysis.</w:t>
      </w:r>
    </w:p>
    <w:p>
      <w:pPr>
        <w:pStyle w:val="Heading2"/>
        <w:spacing w:before="280" w:after="80"/>
      </w:pPr>
      <w:r>
        <w:rPr>
          <w:b/>
          <w:color w:val="4B0082"/>
          <w:sz w:val="30"/>
        </w:rPr>
        <w:t>Slide 19 — Module 6 — The CO2 Investigation</w:t>
      </w:r>
    </w:p>
    <w:p>
      <w:pPr>
        <w:spacing w:after="80"/>
      </w:pPr>
      <w:r>
        <w:rPr>
          <w:b/>
          <w:i w:val="0"/>
          <w:color w:val="555566"/>
          <w:sz w:val="19"/>
        </w:rPr>
        <w:t>MODULE 6</w:t>
      </w:r>
    </w:p>
    <w:p>
      <w:pPr>
        <w:spacing w:after="120"/>
      </w:pPr>
      <w:r>
        <w:rPr>
          <w:b w:val="0"/>
          <w:i w:val="0"/>
          <w:sz w:val="22"/>
        </w:rPr>
        <w:t>This slide tackles the data-quality problem first flagged back in Slide 3 and hinted at in Module 3's while loop. The screenshot shows both the narrative explanation written in the notebook and the summarize_co2_availability(df) function with its output.</w:t>
      </w:r>
    </w:p>
    <w:p>
      <w:pPr>
        <w:spacing w:after="60"/>
      </w:pPr>
      <w:r>
        <w:rPr>
          <w:b/>
          <w:i w:val="0"/>
          <w:sz w:val="21"/>
        </w:rPr>
        <w:t>What the screenshot actually shows:</w:t>
      </w:r>
    </w:p>
    <w:p>
      <w:pPr>
        <w:spacing w:after="240"/>
      </w:pPr>
      <w:r>
        <w:rPr>
          <w:b w:val="0"/>
          <w:i w:val="0"/>
          <w:sz w:val="21"/>
        </w:rPr>
        <w:t>A month-by-month breakdown (shown just above the code in the screenshot) revealed that CO2 has zero readings from January through most of October, then becomes essentially complete from late October onward — identically across every single city. This is why the notebook calls it a “structural gap”, not random sensor dropouts: if it were random, different cities would be missing different months. The code itself: co2_available = df[df["CO2"].notnull()] filters to only rows where CO2 was actually recorded (boolean indexing); .min() and .max() on the Date column then find the earliest and latest usable readings. The printed output confirms it precisely: earliest CO2 reading 2024-10-26, latest 2024-12-31, with only 9,648 of 52,704 rows (18.3%) carrying a usable CO2 value — meaning 81.7% are missing. The decision that follows directly from this evidence: do not invent CO2 values for January–October; only use CO2 for the window it was genuinely measured, and keep it out of the main year-long city comparison on Slide 18. This becomes Major Finding #5.</w:t>
      </w:r>
    </w:p>
    <w:p>
      <w:pPr>
        <w:pStyle w:val="Heading2"/>
        <w:spacing w:before="280" w:after="80"/>
      </w:pPr>
      <w:r>
        <w:rPr>
          <w:b/>
          <w:color w:val="4B0082"/>
          <w:sz w:val="30"/>
        </w:rPr>
        <w:t>Slide 20 — Module 6 — NumPy Correlations</w:t>
      </w:r>
    </w:p>
    <w:p>
      <w:pPr>
        <w:spacing w:after="80"/>
      </w:pPr>
      <w:r>
        <w:rPr>
          <w:b/>
          <w:i w:val="0"/>
          <w:color w:val="555566"/>
          <w:sz w:val="19"/>
        </w:rPr>
        <w:t>MODULE 6</w:t>
      </w:r>
    </w:p>
    <w:p>
      <w:pPr>
        <w:spacing w:after="120"/>
      </w:pPr>
      <w:r>
        <w:rPr>
          <w:b w:val="0"/>
          <w:i w:val="0"/>
          <w:sz w:val="22"/>
        </w:rPr>
        <w:t>The final Module 6 slide switches from Pandas to NumPy and answers Problem Identification question #4: which pollutants drive AQI the most? The screenshot shows count_threshold_exceedances() and compute_correlations() together with their printed output.</w:t>
      </w:r>
    </w:p>
    <w:p>
      <w:pPr>
        <w:spacing w:after="60"/>
      </w:pPr>
      <w:r>
        <w:rPr>
          <w:b/>
          <w:i w:val="0"/>
          <w:sz w:val="21"/>
        </w:rPr>
        <w:t>What the screenshot actually shows:</w:t>
      </w:r>
    </w:p>
    <w:p>
      <w:pPr>
        <w:spacing w:after="240"/>
      </w:pPr>
      <w:r>
        <w:rPr>
          <w:b w:val="0"/>
          <w:i w:val="0"/>
          <w:sz w:val="21"/>
        </w:rPr>
        <w:t>aqi_array &gt; 100 is a vectorized comparison — instead of writing a loop, NumPy applies the comparison to all 52,704 values at once and returns a same-length array of True/False. np.sum(...) on that array counts how many are True (since Python treats True as 1), giving the visible output: 2,182 hours with AQI &gt; 100, 6,655 hours with PM2.5 &gt; 35, and 2,110 hours with PM10 &gt; 150. Then np.corrcoef(pm25_array, aqi_array)[0, 1] computes the Pearson correlation coefficient between PM2.5 and AQI — a statistical measure from -1 to 1 of how closely two variables move together. The printed result: correlation between PM2.5 and AQI = 0.822, and PM10 and AQI = 0.846. Both comfortably clear the commonly used 0.7 “strong correlation” threshold, which is the direct evidence behind Major Finding #4: particulate matter (PM2.5 and PM10), not CO, NO2, SO2, or O3, is the strongest driver of AQI in this dataset.</w:t>
      </w:r>
    </w:p>
    <w:p>
      <w:r>
        <w:br w:type="page"/>
      </w:r>
    </w:p>
    <w:p>
      <w:pPr>
        <w:pStyle w:val="Heading1"/>
      </w:pPr>
      <w:r>
        <w:t>Part D — Module 7: Matplotlib Visualization (Slides 21–26)</w:t>
      </w:r>
    </w:p>
    <w:p>
      <w:pPr>
        <w:spacing w:after="200"/>
      </w:pPr>
      <w:r>
        <w:rPr>
          <w:b w:val="0"/>
          <w:i/>
          <w:color w:val="555566"/>
          <w:sz w:val="22"/>
        </w:rPr>
        <w:t>Module 7 turns the tables Module 6 produced into four charts, each one answering a different Problem Identification question visually. All four were screenshotted directly from the notebook's own rendered output, so what you see is exactly what running the notebook produces.</w:t>
      </w:r>
    </w:p>
    <w:p>
      <w:pPr>
        <w:spacing w:after="40"/>
      </w:pPr>
      <w:r>
        <w:rPr>
          <w:b/>
          <w:i w:val="0"/>
          <w:color w:val="000080"/>
          <w:sz w:val="26"/>
        </w:rPr>
        <w:t>Slide 21 — Module 7 Divider: “Matplotlib Visualization”</w:t>
      </w:r>
    </w:p>
    <w:p>
      <w:pPr>
        <w:spacing w:after="200"/>
      </w:pPr>
      <w:r>
        <w:rPr>
          <w:b w:val="0"/>
          <w:i w:val="0"/>
          <w:sz w:val="21"/>
        </w:rPr>
        <w:t>Transition slide reading “MODULE 7”, title “Matplotlib Visualization”, subtitle “Four charts, each answering one question”.</w:t>
      </w:r>
    </w:p>
    <w:p>
      <w:pPr>
        <w:pStyle w:val="Heading2"/>
        <w:spacing w:before="280" w:after="80"/>
      </w:pPr>
      <w:r>
        <w:rPr>
          <w:b/>
          <w:color w:val="4B0082"/>
          <w:sz w:val="30"/>
        </w:rPr>
        <w:t>Slide 22 — Module 7 — Chart Code Example</w:t>
      </w:r>
    </w:p>
    <w:p>
      <w:pPr>
        <w:spacing w:after="80"/>
      </w:pPr>
      <w:r>
        <w:rPr>
          <w:b/>
          <w:i w:val="0"/>
          <w:color w:val="555566"/>
          <w:sz w:val="19"/>
        </w:rPr>
        <w:t>MODULE 7</w:t>
      </w:r>
    </w:p>
    <w:p>
      <w:pPr>
        <w:spacing w:after="120"/>
      </w:pPr>
      <w:r>
        <w:rPr>
          <w:b w:val="0"/>
          <w:i w:val="0"/>
          <w:sz w:val="22"/>
        </w:rPr>
        <w:t>Before showing the charts themselves, this slide shows the code pattern every chart in Module 7 follows, using plot_avg_aqi_by_city() as the example.</w:t>
      </w:r>
    </w:p>
    <w:p>
      <w:pPr>
        <w:spacing w:after="60"/>
      </w:pPr>
      <w:r>
        <w:rPr>
          <w:b/>
          <w:i w:val="0"/>
          <w:sz w:val="21"/>
        </w:rPr>
        <w:t>What the screenshot actually shows:</w:t>
      </w:r>
    </w:p>
    <w:p>
      <w:pPr>
        <w:spacing w:after="240"/>
      </w:pPr>
      <w:r>
        <w:rPr>
          <w:b w:val="0"/>
          <w:i w:val="0"/>
          <w:sz w:val="21"/>
        </w:rPr>
        <w:t>plt.figure(figsize=(8,5)) sets a consistent chart size. plt.bar(city_order, city_summary["AQI"], color="steelblue") draws one bar per city, reusing the already-sorted city_summary table from Slide 18 so the bars come out worst-to-best automatically. plt.bar_label(bars, fmt="%.1f", padding=3) prints the exact value on top of every bar. plt.xlabel / plt.ylabel explicitly state units (“Average AQI (EPA index, 0–500 scale)”) so the chart is readable without needing the surrounding text. plt.grid(axis="y", alpha=0.3) adds faint horizontal gridlines so bar heights are easy to read. Every one of the four charts in this module repeats this same pattern: labeled axes with units, gridlines, and value labels.</w:t>
      </w:r>
    </w:p>
    <w:p>
      <w:pPr>
        <w:pStyle w:val="Heading2"/>
        <w:spacing w:before="280" w:after="80"/>
      </w:pPr>
      <w:r>
        <w:rPr>
          <w:b/>
          <w:color w:val="4B0082"/>
          <w:sz w:val="30"/>
        </w:rPr>
        <w:t>Slide 23 — Module 7 — Average AQI by City</w:t>
      </w:r>
    </w:p>
    <w:p>
      <w:pPr>
        <w:spacing w:after="80"/>
      </w:pPr>
      <w:r>
        <w:rPr>
          <w:b/>
          <w:i w:val="0"/>
          <w:color w:val="555566"/>
          <w:sz w:val="19"/>
        </w:rPr>
        <w:t>MODULE 7</w:t>
      </w:r>
    </w:p>
    <w:p>
      <w:pPr>
        <w:spacing w:after="240"/>
      </w:pPr>
      <w:r>
        <w:rPr>
          <w:b w:val="0"/>
          <w:i w:val="0"/>
          <w:sz w:val="21"/>
        </w:rPr>
        <w:t>A bar chart ranking all six cities by average AQI, tallest bar first. Dubai's bar (85.1) towers visibly over the other five, with Cairo a distant second (52.5) and the remaining four cities clustered closely together between 24.8 and 32.9. This is the single most referenced chart in the deck — it visually proves Major Finding #1 at a glance.</w:t>
      </w:r>
    </w:p>
    <w:p>
      <w:pPr>
        <w:pStyle w:val="Heading2"/>
        <w:spacing w:before="280" w:after="80"/>
      </w:pPr>
      <w:r>
        <w:rPr>
          <w:b/>
          <w:color w:val="4B0082"/>
          <w:sz w:val="30"/>
        </w:rPr>
        <w:t>Slide 24 — Module 7 — Average AQI by Month</w:t>
      </w:r>
    </w:p>
    <w:p>
      <w:pPr>
        <w:spacing w:after="80"/>
      </w:pPr>
      <w:r>
        <w:rPr>
          <w:b/>
          <w:i w:val="0"/>
          <w:color w:val="555566"/>
          <w:sz w:val="19"/>
        </w:rPr>
        <w:t>MODULE 7</w:t>
      </w:r>
    </w:p>
    <w:p>
      <w:pPr>
        <w:spacing w:after="240"/>
      </w:pPr>
      <w:r>
        <w:rPr>
          <w:b w:val="0"/>
          <w:i w:val="0"/>
          <w:sz w:val="21"/>
        </w:rPr>
        <w:t>A line chart with one point per month, annotated directly on the chart with “peak: 48.3” at August and “low: 35.9” at October. The line stays in a fairly narrow 36–48 band for most of the year, then climbs sharply in July/August before dropping to its lowest point in October. This is the visual evidence for Major Finding #2 — and its modest size compared to the city-ranking bar chart (a roughly 12-point range vs. a 60-point range) is what justifies ranking seasonality below city in the Conclusion Analysis.</w:t>
      </w:r>
    </w:p>
    <w:p>
      <w:pPr>
        <w:pStyle w:val="Heading2"/>
        <w:spacing w:before="280" w:after="80"/>
      </w:pPr>
      <w:r>
        <w:rPr>
          <w:b/>
          <w:color w:val="4B0082"/>
          <w:sz w:val="30"/>
        </w:rPr>
        <w:t>Slide 25 — Module 7 — PM2.5 vs AQI</w:t>
      </w:r>
    </w:p>
    <w:p>
      <w:pPr>
        <w:spacing w:after="80"/>
      </w:pPr>
      <w:r>
        <w:rPr>
          <w:b/>
          <w:i w:val="0"/>
          <w:color w:val="555566"/>
          <w:sz w:val="19"/>
        </w:rPr>
        <w:t>MODULE 7</w:t>
      </w:r>
    </w:p>
    <w:p>
      <w:pPr>
        <w:spacing w:after="240"/>
      </w:pPr>
      <w:r>
        <w:rPr>
          <w:b w:val="0"/>
          <w:i w:val="0"/>
          <w:sz w:val="21"/>
        </w:rPr>
        <w:t>A scatter plot of all 52,704 hourly readings, PM2.5 on the x-axis against AQI on the y-axis, rendered with small, semi-transparent green dots so that dense areas appear visibly darker. A black trend line (computed with np.polyfit, a least-squares linear fit) is drawn through the cloud of points, sloping clearly upward. The chart title states the exact correlation calculated on Slide 20: “correlation = 0.82”. This is the visual proof of Major Finding #4 — the upward-sloping cloud makes the statistical correlation intuitive even without reading the number.</w:t>
      </w:r>
    </w:p>
    <w:p>
      <w:pPr>
        <w:pStyle w:val="Heading2"/>
        <w:spacing w:before="280" w:after="80"/>
      </w:pPr>
      <w:r>
        <w:rPr>
          <w:b/>
          <w:color w:val="4B0082"/>
          <w:sz w:val="30"/>
        </w:rPr>
        <w:t>Slide 26 — Module 7 — Average Pollutant Levels</w:t>
      </w:r>
    </w:p>
    <w:p>
      <w:pPr>
        <w:spacing w:after="80"/>
      </w:pPr>
      <w:r>
        <w:rPr>
          <w:b/>
          <w:i w:val="0"/>
          <w:color w:val="555566"/>
          <w:sz w:val="19"/>
        </w:rPr>
        <w:t>MODULE 7</w:t>
      </w:r>
    </w:p>
    <w:p>
      <w:pPr>
        <w:spacing w:after="240"/>
      </w:pPr>
      <w:r>
        <w:rPr>
          <w:b w:val="0"/>
          <w:i w:val="0"/>
          <w:sz w:val="21"/>
        </w:rPr>
        <w:t>A bar chart showing the overall average level of six pollutants (CO, NO2, SO2, O3, PM2.5, PM10) across the entire dataset, each bar labeled with its exact value. CO's bar (258.3) is dramatically taller than the rest — but the y-axis label explicitly notes this is a unit difference (CO in ppb vs. PM2.5/PM10 in µg/m³), not evidence that CO is ten times more present in the air. This chart is intentionally the most "what does this actually mean" chart in the deck, which is why the accompanying note calls out the unit caveat directly.</w:t>
      </w:r>
    </w:p>
    <w:p>
      <w:r>
        <w:br w:type="page"/>
      </w:r>
    </w:p>
    <w:p>
      <w:pPr>
        <w:pStyle w:val="Heading1"/>
      </w:pPr>
      <w:r>
        <w:t>Part E — Module 8: Conclusion, Team Contribution, Closing (Slides 27–33)</w:t>
      </w:r>
    </w:p>
    <w:p>
      <w:pPr>
        <w:spacing w:after="200"/>
      </w:pPr>
      <w:r>
        <w:rPr>
          <w:b w:val="0"/>
          <w:i/>
          <w:color w:val="555566"/>
          <w:sz w:val="22"/>
        </w:rPr>
        <w:t>The final stretch of the presentation. Module 8 answers every question raised in Module 0 with specific numbers and names the single deciding factor behind each answer, then the deck closes with how the work was divided and a thank-you slide.</w:t>
      </w:r>
    </w:p>
    <w:p>
      <w:pPr>
        <w:spacing w:after="40"/>
      </w:pPr>
      <w:r>
        <w:rPr>
          <w:b/>
          <w:i w:val="0"/>
          <w:color w:val="000080"/>
          <w:sz w:val="26"/>
        </w:rPr>
        <w:t>Slide 27 — Module 8 Divider: “Conclusion”</w:t>
      </w:r>
    </w:p>
    <w:p>
      <w:pPr>
        <w:spacing w:after="200"/>
      </w:pPr>
      <w:r>
        <w:rPr>
          <w:b w:val="0"/>
          <w:i w:val="0"/>
          <w:sz w:val="21"/>
        </w:rPr>
        <w:t>Transition slide reading “MODULE 8”, title “Conclusion”, subtitle “Findings, deciding factors, and the bottom line”.</w:t>
      </w:r>
    </w:p>
    <w:p>
      <w:pPr>
        <w:pStyle w:val="Heading2"/>
        <w:spacing w:before="280" w:after="80"/>
      </w:pPr>
      <w:r>
        <w:rPr>
          <w:b/>
          <w:color w:val="4B0082"/>
          <w:sz w:val="30"/>
        </w:rPr>
        <w:t>Slide 28 — Module 8 — Major Findings (1–3)</w:t>
      </w:r>
    </w:p>
    <w:p>
      <w:pPr>
        <w:spacing w:after="80"/>
      </w:pPr>
      <w:r>
        <w:rPr>
          <w:b/>
          <w:i w:val="0"/>
          <w:color w:val="555566"/>
          <w:sz w:val="19"/>
        </w:rPr>
        <w:t>MODULE 8</w:t>
      </w:r>
    </w:p>
    <w:p>
      <w:pPr>
        <w:spacing w:after="120"/>
      </w:pPr>
      <w:r>
        <w:rPr>
          <w:b w:val="0"/>
          <w:i w:val="0"/>
          <w:sz w:val="22"/>
        </w:rPr>
        <w:t>The first three of six Major Findings, each written as a three-line block: the finding itself (bold), the supporting numbers, and an italicized “Deciding factor” line explaining why that specific number is what tips the conclusion rather than something else.</w:t>
      </w:r>
    </w:p>
    <w:p>
      <w:pPr>
        <w:spacing w:after="120"/>
      </w:pPr>
      <w:r>
        <w:rPr>
          <w:b w:val="0"/>
          <w:i w:val="0"/>
          <w:sz w:val="21"/>
        </w:rPr>
        <w:t>Finding 1 — Dubai has by far the worst air quality, Brasilia the best. AQI 85.1 vs 24.7, a ~60-point gap, sourced from the city_summary table on Slide 18. Deciding factor: that gap dwarfs normal year-to-year variation for any single city.</w:t>
      </w:r>
    </w:p>
    <w:p>
      <w:pPr>
        <w:spacing w:after="120"/>
      </w:pPr>
      <w:r>
        <w:rPr>
          <w:b w:val="0"/>
          <w:i w:val="0"/>
          <w:sz w:val="21"/>
        </w:rPr>
        <w:t>Finding 2 — AQI stays fairly steady across the year, worst in July/August. The monthly range is 36–48, peaking at 48.3 in August and dipping to 35.9 in October — a 12-point swing, sourced from Slide 24's line chart. Deciding factor: that swing is only about a fifth the size of the city-level gap, which is why city outranks month as a driver of AQI.</w:t>
      </w:r>
    </w:p>
    <w:p>
      <w:pPr>
        <w:spacing w:after="240"/>
      </w:pPr>
      <w:r>
        <w:rPr>
          <w:b w:val="0"/>
          <w:i w:val="0"/>
          <w:sz w:val="21"/>
        </w:rPr>
        <w:t>Finding 3 — one event drives almost all “Unhealthy” hours. 2,182 of 52,704 hourly readings (4.1%) exceed AQI 100, but every single one of the ten worst hours in the entire dataset occurred in Dubai on 18 August 2024. Deciding factor: because all ten share the same city AND the same date, this rules out a general seasonal effect and points to one short-lived pollution event instead.</w:t>
      </w:r>
    </w:p>
    <w:p>
      <w:pPr>
        <w:pStyle w:val="Heading2"/>
        <w:spacing w:before="280" w:after="80"/>
      </w:pPr>
      <w:r>
        <w:rPr>
          <w:b/>
          <w:color w:val="4B0082"/>
          <w:sz w:val="30"/>
        </w:rPr>
        <w:t>Slide 29 — Module 8 — Major Findings (4–6)</w:t>
      </w:r>
    </w:p>
    <w:p>
      <w:pPr>
        <w:spacing w:after="80"/>
      </w:pPr>
      <w:r>
        <w:rPr>
          <w:b/>
          <w:i w:val="0"/>
          <w:color w:val="555566"/>
          <w:sz w:val="19"/>
        </w:rPr>
        <w:t>MODULE 8</w:t>
      </w:r>
    </w:p>
    <w:p>
      <w:pPr>
        <w:spacing w:after="120"/>
      </w:pPr>
      <w:r>
        <w:rPr>
          <w:b w:val="0"/>
          <w:i w:val="0"/>
          <w:sz w:val="21"/>
        </w:rPr>
        <w:t>Finding 4 — particulate matter is strongly linked to AQI. PM2.5 correlates at r = 0.82, PM10 at r = 0.85 (from Slide 20), both clearing the 0.7 “strong correlation” bar. Deciding factor: this is consistent with AQI being partly calculated from particulate readings in the first place, which is why this confirms the relationship rather than discovering a new one.</w:t>
      </w:r>
    </w:p>
    <w:p>
      <w:pPr>
        <w:spacing w:after="120"/>
      </w:pPr>
      <w:r>
        <w:rPr>
          <w:b w:val="0"/>
          <w:i w:val="0"/>
          <w:sz w:val="21"/>
        </w:rPr>
        <w:t>Finding 5 — the missing CO2 data is a monitoring gap, not random noise. 81.7% of CO2 readings are missing, but monitoring started on exactly 26 October 2024 identically across all six cities (from Slide 19). Deciding factor: a hard cutoff at one shared date is the signature of a reporting start date, not sensor drift or random missingness.</w:t>
      </w:r>
    </w:p>
    <w:p>
      <w:pPr>
        <w:spacing w:after="240"/>
      </w:pPr>
      <w:r>
        <w:rPr>
          <w:b w:val="0"/>
          <w:i w:val="0"/>
          <w:sz w:val="21"/>
        </w:rPr>
        <w:t>Finding 6 — even inside the short CO2 window, city rankings looked different. New York had the highest average CO2 (~488 ppm) and Sydney the lowest (~443 ppm) in the Oct 26–Dec 31 window — not the same order as the full-year AQI ranking (Dubai worst, Brasilia best). Deciding factor: a pollutant that ranks cities differently from the overall index cannot be used as a stand-in for overall air quality, which is the final justification for keeping CO2 out of the main city comparison.</w:t>
      </w:r>
    </w:p>
    <w:p>
      <w:pPr>
        <w:pStyle w:val="Heading2"/>
        <w:spacing w:before="280" w:after="80"/>
      </w:pPr>
      <w:r>
        <w:rPr>
          <w:b/>
          <w:color w:val="4B0082"/>
          <w:sz w:val="30"/>
        </w:rPr>
        <w:t>Slide 30 — Conclusion Analysis — What Actually Decided It</w:t>
      </w:r>
    </w:p>
    <w:p>
      <w:pPr>
        <w:spacing w:after="80"/>
      </w:pPr>
      <w:r>
        <w:rPr>
          <w:b/>
          <w:i w:val="0"/>
          <w:color w:val="555566"/>
          <w:sz w:val="19"/>
        </w:rPr>
        <w:t>MODULE 8</w:t>
      </w:r>
    </w:p>
    <w:p>
      <w:pPr>
        <w:spacing w:after="120"/>
      </w:pPr>
      <w:r>
        <w:rPr>
          <w:b w:val="0"/>
          <w:i w:val="0"/>
          <w:sz w:val="22"/>
        </w:rPr>
        <w:t>A four-row ranked table, the analytical centerpiece of the whole deck. It does not just list findings — it ranks the four deciding factors behind them against each other and explains why each one outweighs the one below it.</w:t>
      </w:r>
    </w:p>
    <w:tbl>
      <w:tblPr>
        <w:tblStyle w:val="TableGrid"/>
        <w:tblW w:type="auto" w:w="0"/>
        <w:jc w:val="center"/>
        <w:tblLook w:firstColumn="1" w:firstRow="1" w:lastColumn="0" w:lastRow="0" w:noHBand="0" w:noVBand="1" w:val="04A0"/>
      </w:tblPr>
      <w:tblGrid>
        <w:gridCol w:w="2880"/>
        <w:gridCol w:w="2880"/>
        <w:gridCol w:w="2880"/>
      </w:tblGrid>
      <w:tr>
        <w:tc>
          <w:tcPr>
            <w:tcW w:type="dxa" w:w="864"/>
            <w:shd w:fill="00008B"/>
          </w:tcPr>
          <w:p>
            <w:r/>
            <w:r>
              <w:rPr>
                <w:b/>
                <w:color w:val="FFFFFF"/>
                <w:sz w:val="21"/>
              </w:rPr>
              <w:t>Rank</w:t>
            </w:r>
          </w:p>
        </w:tc>
        <w:tc>
          <w:tcPr>
            <w:tcW w:type="dxa" w:w="3168"/>
            <w:shd w:fill="00008B"/>
          </w:tcPr>
          <w:p>
            <w:r/>
            <w:r>
              <w:rPr>
                <w:b/>
                <w:color w:val="FFFFFF"/>
                <w:sz w:val="21"/>
              </w:rPr>
              <w:t>Deciding Factor</w:t>
            </w:r>
          </w:p>
        </w:tc>
        <w:tc>
          <w:tcPr>
            <w:tcW w:type="dxa" w:w="5328"/>
            <w:shd w:fill="00008B"/>
          </w:tcPr>
          <w:p>
            <w:r/>
            <w:r>
              <w:rPr>
                <w:b/>
                <w:color w:val="FFFFFF"/>
                <w:sz w:val="21"/>
              </w:rPr>
              <w:t>Why It Outweighed the Alternatives</w:t>
            </w:r>
          </w:p>
        </w:tc>
      </w:tr>
      <w:tr>
        <w:tc>
          <w:tcPr>
            <w:tcW w:type="dxa" w:w="864"/>
          </w:tcPr>
          <w:p>
            <w:r/>
            <w:r>
              <w:rPr>
                <w:sz w:val="20"/>
              </w:rPr>
              <w:t>1</w:t>
            </w:r>
          </w:p>
        </w:tc>
        <w:tc>
          <w:tcPr>
            <w:tcW w:type="dxa" w:w="3168"/>
          </w:tcPr>
          <w:p>
            <w:r/>
            <w:r>
              <w:rPr>
                <w:sz w:val="20"/>
              </w:rPr>
              <w:t>City (~60-pt AQI gap)</w:t>
            </w:r>
          </w:p>
        </w:tc>
        <w:tc>
          <w:tcPr>
            <w:tcW w:type="dxa" w:w="5328"/>
          </w:tcPr>
          <w:p>
            <w:r/>
            <w:r>
              <w:rPr>
                <w:sz w:val="20"/>
              </w:rPr>
              <w:t>Largest source of variation in the dataset — more than 4x the size of the month-to-month swing (rank 4).</w:t>
            </w:r>
          </w:p>
        </w:tc>
      </w:tr>
      <w:tr>
        <w:tc>
          <w:tcPr>
            <w:tcW w:type="dxa" w:w="864"/>
          </w:tcPr>
          <w:p>
            <w:r/>
            <w:r>
              <w:rPr>
                <w:sz w:val="20"/>
              </w:rPr>
              <w:t>2</w:t>
            </w:r>
          </w:p>
        </w:tc>
        <w:tc>
          <w:tcPr>
            <w:tcW w:type="dxa" w:w="3168"/>
          </w:tcPr>
          <w:p>
            <w:r/>
            <w:r>
              <w:rPr>
                <w:sz w:val="20"/>
              </w:rPr>
              <w:t>A single event (Dubai, 18 Aug)</w:t>
            </w:r>
          </w:p>
        </w:tc>
        <w:tc>
          <w:tcPr>
            <w:tcW w:type="dxa" w:w="5328"/>
          </w:tcPr>
          <w:p>
            <w:r/>
            <w:r>
              <w:rPr>
                <w:sz w:val="20"/>
              </w:rPr>
              <w:t>All 10 worst hours in the entire dataset share one city AND one date — a seasonal effect alone would not produce that.</w:t>
            </w:r>
          </w:p>
        </w:tc>
      </w:tr>
      <w:tr>
        <w:tc>
          <w:tcPr>
            <w:tcW w:type="dxa" w:w="864"/>
          </w:tcPr>
          <w:p>
            <w:r/>
            <w:r>
              <w:rPr>
                <w:sz w:val="20"/>
              </w:rPr>
              <w:t>3</w:t>
            </w:r>
          </w:p>
        </w:tc>
        <w:tc>
          <w:tcPr>
            <w:tcW w:type="dxa" w:w="3168"/>
          </w:tcPr>
          <w:p>
            <w:r/>
            <w:r>
              <w:rPr>
                <w:sz w:val="20"/>
              </w:rPr>
              <w:t>Particulate correlation (r=0.82/0.85)</w:t>
            </w:r>
          </w:p>
        </w:tc>
        <w:tc>
          <w:tcPr>
            <w:tcW w:type="dxa" w:w="5328"/>
          </w:tcPr>
          <w:p>
            <w:r/>
            <w:r>
              <w:rPr>
                <w:sz w:val="20"/>
              </w:rPr>
              <w:t>Both comfortably clear the 0.7 "strong correlation" bar; PM10 edges out PM2.5.</w:t>
            </w:r>
          </w:p>
        </w:tc>
      </w:tr>
      <w:tr>
        <w:tc>
          <w:tcPr>
            <w:tcW w:type="dxa" w:w="864"/>
          </w:tcPr>
          <w:p>
            <w:r/>
            <w:r>
              <w:rPr>
                <w:sz w:val="20"/>
              </w:rPr>
              <w:t>4</w:t>
            </w:r>
          </w:p>
        </w:tc>
        <w:tc>
          <w:tcPr>
            <w:tcW w:type="dxa" w:w="3168"/>
          </w:tcPr>
          <w:p>
            <w:r/>
            <w:r>
              <w:rPr>
                <w:sz w:val="20"/>
              </w:rPr>
              <w:t>Seasonality (12-pt swing)</w:t>
            </w:r>
          </w:p>
        </w:tc>
        <w:tc>
          <w:tcPr>
            <w:tcW w:type="dxa" w:w="5328"/>
          </w:tcPr>
          <w:p>
            <w:r/>
            <w:r>
              <w:rPr>
                <w:sz w:val="20"/>
              </w:rPr>
              <w:t>Real and consistent, but only about a fifth the size of the city-level gap — a secondary, not primary, driver.</w:t>
            </w:r>
          </w:p>
        </w:tc>
      </w:tr>
    </w:tbl>
    <w:p>
      <w:pPr>
        <w:spacing w:after="40"/>
      </w:pPr>
    </w:p>
    <w:p>
      <w:pPr>
        <w:spacing w:after="200"/>
      </w:pPr>
      <w:r>
        <w:rPr>
          <w:b w:val="0"/>
          <w:i w:val="0"/>
          <w:sz w:val="21"/>
        </w:rPr>
        <w:t>A closing note explains why CO2 never appears in this table at all: the data could not support including it honestly across the full year, so the team chose to under-use a column rather than let ten months of invented values quietly bias the rankings above it. This single sentence is the project's clearest statement of its own methodology — it shows the ranking above was reached by weighing evidence, not just listing numbers.</w:t>
      </w:r>
    </w:p>
    <w:p>
      <w:pPr>
        <w:pStyle w:val="Heading2"/>
        <w:spacing w:before="280" w:after="80"/>
      </w:pPr>
      <w:r>
        <w:rPr>
          <w:b/>
          <w:color w:val="4B0082"/>
          <w:sz w:val="30"/>
        </w:rPr>
        <w:t>Slide 31 — Final Conclusion</w:t>
      </w:r>
    </w:p>
    <w:p>
      <w:pPr>
        <w:spacing w:after="80"/>
      </w:pPr>
      <w:r>
        <w:rPr>
          <w:b/>
          <w:i w:val="0"/>
          <w:color w:val="555566"/>
          <w:sz w:val="19"/>
        </w:rPr>
        <w:t>MODULE 8</w:t>
      </w:r>
    </w:p>
    <w:p>
      <w:pPr>
        <w:spacing w:after="120"/>
      </w:pPr>
      <w:r>
        <w:rPr>
          <w:b w:val="0"/>
          <w:i w:val="0"/>
          <w:sz w:val="22"/>
        </w:rPr>
        <w:t>A full-color closing slide that restates every major number in one flowing paragraph — Dubai 85.1 vs Brasilia 24.7, the July/August peak and October dip, the single 18 August Dubai event, the 0.82/0.85 correlations, and the 81.7% CO2 gap — then ends with a highlighted gold-on-purple “Bottom line” box: air quality in this dataset is driven far more by WHERE you are than WHEN, and the single worst event found was a one-off spike in Dubai, not a seasonal pattern.</w:t>
      </w:r>
    </w:p>
    <w:p>
      <w:pPr>
        <w:spacing w:after="240"/>
      </w:pPr>
      <w:r>
        <w:rPr>
          <w:b w:val="0"/>
          <w:i w:val="0"/>
          <w:sz w:val="21"/>
        </w:rPr>
        <w:t>Purpose: this is the one slide an audience member should remember if they remember nothing else. Everything before it builds the evidence; this slide states the verdict in one memorable sentence.</w:t>
      </w:r>
    </w:p>
    <w:p>
      <w:pPr>
        <w:pStyle w:val="Heading2"/>
        <w:spacing w:before="280" w:after="80"/>
      </w:pPr>
      <w:r>
        <w:rPr>
          <w:b/>
          <w:color w:val="4B0082"/>
          <w:sz w:val="30"/>
        </w:rPr>
        <w:t>Slide 32 — Team Contribution</w:t>
      </w:r>
    </w:p>
    <w:p>
      <w:pPr>
        <w:spacing w:after="120"/>
      </w:pPr>
      <w:r>
        <w:rPr>
          <w:b w:val="0"/>
          <w:i w:val="0"/>
          <w:sz w:val="22"/>
        </w:rPr>
        <w:t>A table listing all three members, the modules each owns, what they actually built, and a cell count (33, 32, 33 — genuinely balanced, not just claimed) pulled directly from the real notebook structure. Aishmita: Modules 1–3 (Python foundation). Aaska: Modules 4–6 Pandas half (functions, file I/O, the full Pandas load and CO2 investigation). Anupam: Module 0, Module 6 NumPy half, Module 7, and Module 8 (problem framing, NumPy analysis, all four charts, and the findings/conclusion). A closing paragraph explains that each member also wrote exactly 18 markdown explanation cells, so the written analysis — not just the code — is equally split, and that the whole team re-ran the notebook together before submission.</w:t>
      </w:r>
    </w:p>
    <w:p>
      <w:pPr>
        <w:spacing w:after="240"/>
      </w:pPr>
      <w:r>
        <w:rPr>
          <w:b w:val="0"/>
          <w:i w:val="0"/>
          <w:sz w:val="21"/>
        </w:rPr>
        <w:t>Purpose: closes the loop on who built what, in a way that is backed by real numbers rather than a vague "we all contributed equally" claim.</w:t>
      </w:r>
    </w:p>
    <w:p>
      <w:pPr>
        <w:pStyle w:val="Heading2"/>
        <w:spacing w:before="280" w:after="80"/>
      </w:pPr>
      <w:r>
        <w:rPr>
          <w:b/>
          <w:color w:val="4B0082"/>
          <w:sz w:val="30"/>
        </w:rPr>
        <w:t>Slide 33 — Thank You</w:t>
      </w:r>
    </w:p>
    <w:p>
      <w:pPr>
        <w:spacing w:after="120"/>
      </w:pPr>
      <w:r>
        <w:rPr>
          <w:b w:val="0"/>
          <w:i w:val="0"/>
          <w:sz w:val="22"/>
        </w:rPr>
        <w:t>The closing slide: large centered "Thank You" text, a "Questions?" subtitle, and the project name with team credit repeated one final time. Simple by design — it signals the presentation has ended and opens the floor for questions, rather than trying to add new content at the very last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8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008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0202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8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