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23A" w:rsidRPr="00976791" w:rsidRDefault="000F62CC" w:rsidP="002F223A">
      <w:pPr>
        <w:pStyle w:val="Heading1forTopofPage"/>
      </w:pPr>
      <w:r>
        <w:t xml:space="preserve">Q3 Preview: </w:t>
      </w:r>
      <w:r w:rsidR="00DC22F8" w:rsidRPr="00976791">
        <w:t>Like Goldilocks</w:t>
      </w:r>
      <w:r w:rsidR="00192CE5">
        <w:t xml:space="preserve"> – </w:t>
      </w:r>
      <w:r w:rsidR="00DC22F8" w:rsidRPr="00976791">
        <w:t>Not Hot, Not Cold</w:t>
      </w:r>
    </w:p>
    <w:p w:rsidR="002F223A" w:rsidRPr="00976791" w:rsidRDefault="002F223A" w:rsidP="002F223A">
      <w:pPr>
        <w:pStyle w:val="BodyText"/>
      </w:pPr>
      <w:r w:rsidRPr="00976791">
        <w:t>We expect Q</w:t>
      </w:r>
      <w:r w:rsidR="000C1745" w:rsidRPr="00976791">
        <w:t>3</w:t>
      </w:r>
      <w:r w:rsidRPr="00976791">
        <w:t xml:space="preserve">/17 earnings to </w:t>
      </w:r>
      <w:r w:rsidR="009C311D" w:rsidRPr="00976791">
        <w:t xml:space="preserve">be </w:t>
      </w:r>
      <w:r w:rsidRPr="00976791">
        <w:t xml:space="preserve">relatively subdued, with companies </w:t>
      </w:r>
      <w:r w:rsidR="009F14B7">
        <w:t>providing</w:t>
      </w:r>
      <w:r w:rsidRPr="00976791">
        <w:t xml:space="preserve"> routine </w:t>
      </w:r>
      <w:r w:rsidR="009F14B7">
        <w:t xml:space="preserve">updates on </w:t>
      </w:r>
      <w:r w:rsidR="00976791">
        <w:t>development projects, and taking the opportunity to tighten and adjust guidance ranges heading into the final major corporate update of the calendar year.</w:t>
      </w:r>
    </w:p>
    <w:p w:rsidR="002F223A" w:rsidRPr="00373751" w:rsidRDefault="00F43532" w:rsidP="002F223A">
      <w:pPr>
        <w:pStyle w:val="BodyText"/>
      </w:pPr>
      <w:r w:rsidRPr="00373751">
        <w:t>W</w:t>
      </w:r>
      <w:r w:rsidR="002F223A" w:rsidRPr="00373751">
        <w:t xml:space="preserve">e highlight a number of companies where </w:t>
      </w:r>
      <w:r w:rsidRPr="00373751">
        <w:t>our</w:t>
      </w:r>
      <w:r w:rsidR="002F223A" w:rsidRPr="00373751">
        <w:t xml:space="preserve"> EPS estimates diverge from consensus, and have potential to deliver an earnings beat or miss.  </w:t>
      </w:r>
    </w:p>
    <w:tbl>
      <w:tblPr>
        <w:tblW w:w="5000" w:type="pct"/>
        <w:tblCellMar>
          <w:left w:w="0" w:type="dxa"/>
          <w:right w:w="0" w:type="dxa"/>
        </w:tblCellMar>
        <w:tblLook w:val="0000" w:firstRow="0" w:lastRow="0" w:firstColumn="0" w:lastColumn="0" w:noHBand="0" w:noVBand="0"/>
      </w:tblPr>
      <w:tblGrid>
        <w:gridCol w:w="7920"/>
      </w:tblGrid>
      <w:tr w:rsidR="00D0223D" w:rsidRPr="00FC08A5" w:rsidTr="00B411C2">
        <w:trPr>
          <w:trHeight w:val="200"/>
        </w:trPr>
        <w:tc>
          <w:tcPr>
            <w:tcW w:w="5000" w:type="pct"/>
          </w:tcPr>
          <w:p w:rsidR="00D0223D" w:rsidRPr="00FC08A5" w:rsidRDefault="00D0223D" w:rsidP="00316E81">
            <w:pPr>
              <w:pStyle w:val="ExhibitTitleBold"/>
              <w:keepNext/>
            </w:pPr>
            <w:r w:rsidRPr="00FC08A5">
              <w:t xml:space="preserve">Exhibit </w:t>
            </w:r>
            <w:r w:rsidR="00316E81">
              <w:t>1</w:t>
            </w:r>
            <w:r w:rsidRPr="00FC08A5">
              <w:t>:  BMO EPS Estimates vs. Consensus (</w:t>
            </w:r>
            <w:r w:rsidR="00F43532" w:rsidRPr="00FC08A5">
              <w:t>$0.00</w:t>
            </w:r>
            <w:r w:rsidRPr="00FC08A5">
              <w:t>)</w:t>
            </w:r>
          </w:p>
        </w:tc>
      </w:tr>
      <w:tr w:rsidR="00D0223D" w:rsidRPr="00FC08A5" w:rsidTr="00B411C2">
        <w:trPr>
          <w:trHeight w:val="262"/>
        </w:trPr>
        <w:tc>
          <w:tcPr>
            <w:tcW w:w="5000" w:type="pct"/>
            <w:vAlign w:val="center"/>
          </w:tcPr>
          <w:p w:rsidR="00D0223D" w:rsidRPr="00FC08A5" w:rsidRDefault="007B63B5" w:rsidP="00B30A4D">
            <w:pPr>
              <w:keepNext/>
            </w:pPr>
            <w:r>
              <w:rPr>
                <w:noProof/>
              </w:rPr>
              <mc:AlternateContent>
                <mc:Choice Requires="wps">
                  <w:drawing>
                    <wp:anchor distT="0" distB="0" distL="114300" distR="114300" simplePos="0" relativeHeight="251658240" behindDoc="0" locked="0" layoutInCell="1" allowOverlap="1" wp14:anchorId="7E4B641D" wp14:editId="2D4CB97A">
                      <wp:simplePos x="0" y="0"/>
                      <wp:positionH relativeFrom="column">
                        <wp:posOffset>-1828800</wp:posOffset>
                      </wp:positionH>
                      <wp:positionV relativeFrom="page">
                        <wp:posOffset>659765</wp:posOffset>
                      </wp:positionV>
                      <wp:extent cx="1371600" cy="91376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3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3B5" w:rsidRPr="00CA4F1C" w:rsidRDefault="007B63B5" w:rsidP="00C50403">
                                  <w:pPr>
                                    <w:pStyle w:val="CallOut"/>
                                    <w:rPr>
                                      <w:rFonts w:eastAsia="Dax-Regular"/>
                                    </w:rPr>
                                  </w:pPr>
                                  <w:r>
                                    <w:rPr>
                                      <w:rFonts w:eastAsia="Dax-Regular"/>
                                    </w:rPr>
                                    <w:t>Our estimates diverge from consensus on NEM, DGC and EDV.</w:t>
                                  </w:r>
                                  <w:r w:rsidRPr="00CA4F1C">
                                    <w:rPr>
                                      <w:rFonts w:eastAsia="Dax-Regula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in;margin-top:51.95pt;width:108pt;height:7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" filled="f" stroked="f">
                      <v:textbox inset="0,0,0,0">
                        <w:txbxContent>
                          <w:p w:rsidR="007B63B5" w:rsidRPr="00CA4F1C" w:rsidRDefault="007B63B5" w:rsidP="00C50403">
                            <w:pPr>
                              <w:pStyle w:val="CallOut"/>
                              <w:rPr>
                                <w:rFonts w:eastAsia="Dax-Regular"/>
                              </w:rPr>
                            </w:pPr>
                            <w:r>
                              <w:rPr>
                                <w:rFonts w:eastAsia="Dax-Regular"/>
                              </w:rPr>
                              <w:t>Our estimates diverge from consensus on NEM, DGC and EDV.</w:t>
                            </w:r>
                            <w:r w:rsidRPr="00CA4F1C">
                              <w:rPr>
                                <w:rFonts w:eastAsia="Dax-Regular"/>
                              </w:rPr>
                              <w:t xml:space="preserve"> </w:t>
                            </w:r>
                          </w:p>
                        </w:txbxContent>
                      </v:textbox>
                      <w10:wrap anchory="page"/>
                    </v:shape>
                  </w:pict>
                </mc:Fallback>
              </mc:AlternateContent>
            </w:r>
            <w:r w:rsidR="00B30A4D">
              <w:rPr>
                <w:noProof/>
              </w:rPr>
              <w:drawing>
                <wp:inline distT="0" distB="0" distL="0" distR="0">
                  <wp:extent cx="5024755" cy="2002790"/>
                  <wp:effectExtent l="0" t="0" r="4445" b="0"/>
                  <wp:docPr id="3" name="Picture 3" descr="&lt;DMID&gt;_DM_09be7cb950b5402288f3844b96d2575d&lt;/DMID&g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4755" cy="2002790"/>
                          </a:xfrm>
                          <a:prstGeom prst="rect">
                            <a:avLst/>
                          </a:prstGeom>
                          <a:noFill/>
                          <a:ln>
                            <a:noFill/>
                          </a:ln>
                        </pic:spPr>
                      </pic:pic>
                    </a:graphicData>
                  </a:graphic>
                </wp:inline>
              </w:drawing>
            </w:r>
          </w:p>
        </w:tc>
      </w:tr>
      <w:tr w:rsidR="00D0223D" w:rsidRPr="00FC08A5" w:rsidTr="00B411C2">
        <w:trPr>
          <w:trHeight w:val="127"/>
        </w:trPr>
        <w:tc>
          <w:tcPr>
            <w:tcW w:w="5000" w:type="pct"/>
            <w:tcBorders>
              <w:left w:val="nil"/>
              <w:bottom w:val="nil"/>
              <w:right w:val="nil"/>
            </w:tcBorders>
          </w:tcPr>
          <w:p w:rsidR="00D0223D" w:rsidRPr="00FC08A5" w:rsidRDefault="00D0223D" w:rsidP="00D0223D">
            <w:pPr>
              <w:pStyle w:val="Source"/>
              <w:keepNext/>
            </w:pPr>
            <w:r w:rsidRPr="00FC08A5">
              <w:t>Source: BMO Capital Markets, Bloomberg</w:t>
            </w:r>
          </w:p>
        </w:tc>
      </w:tr>
    </w:tbl>
    <w:p w:rsidR="00364BC4" w:rsidRDefault="00364BC4" w:rsidP="00E950B4">
      <w:pPr>
        <w:pStyle w:val="BodyText"/>
      </w:pPr>
    </w:p>
    <w:p w:rsidR="00E950B4" w:rsidRPr="00DE42C8" w:rsidRDefault="005021F2" w:rsidP="00E950B4">
      <w:pPr>
        <w:pStyle w:val="BodyText"/>
      </w:pPr>
      <w:r>
        <w:t>I</w:t>
      </w:r>
      <w:r w:rsidR="00E950B4">
        <w:t xml:space="preserve">n general, </w:t>
      </w:r>
      <w:r w:rsidR="00494812">
        <w:t xml:space="preserve">our </w:t>
      </w:r>
      <w:r w:rsidR="00E950B4">
        <w:t xml:space="preserve">earnings estimates for the large producers are essentially in-line with </w:t>
      </w:r>
      <w:r w:rsidR="00494812">
        <w:t xml:space="preserve">consensus </w:t>
      </w:r>
      <w:r w:rsidR="00E950B4">
        <w:t xml:space="preserve">estimates.  </w:t>
      </w:r>
      <w:r w:rsidR="006475B4">
        <w:t xml:space="preserve">We differ meaningfully from consensus only on </w:t>
      </w:r>
      <w:r w:rsidR="006475B4" w:rsidRPr="006475B4">
        <w:rPr>
          <w:rFonts w:ascii="Dax-Bold" w:hAnsi="Dax-Bold"/>
        </w:rPr>
        <w:t>Newmont Mining</w:t>
      </w:r>
      <w:r w:rsidR="006475B4">
        <w:t>, where we see potential for an earnings beat based on strong quarters from Carlin and at Merian, in Suriname</w:t>
      </w:r>
      <w:r w:rsidR="006475B4" w:rsidRPr="00DE42C8">
        <w:t>.</w:t>
      </w:r>
      <w:r w:rsidR="00A067B5" w:rsidRPr="00DE42C8">
        <w:t xml:space="preserve"> A discussion of a potential dividend policy update represents a potentially positive catalyst for NEM on the quarter.</w:t>
      </w:r>
    </w:p>
    <w:p w:rsidR="00A067B5" w:rsidRDefault="00A067B5" w:rsidP="00E950B4">
      <w:pPr>
        <w:pStyle w:val="BodyText"/>
      </w:pPr>
      <w:r w:rsidRPr="00DE42C8">
        <w:t xml:space="preserve">While our EPS estimates for </w:t>
      </w:r>
      <w:proofErr w:type="spellStart"/>
      <w:r w:rsidRPr="00DE42C8">
        <w:rPr>
          <w:rFonts w:ascii="Dax-Bold" w:hAnsi="Dax-Bold"/>
        </w:rPr>
        <w:t>Yamana</w:t>
      </w:r>
      <w:proofErr w:type="spellEnd"/>
      <w:r w:rsidRPr="00DE42C8">
        <w:rPr>
          <w:rFonts w:ascii="Dax-Bold" w:hAnsi="Dax-Bold"/>
        </w:rPr>
        <w:t xml:space="preserve"> Gold</w:t>
      </w:r>
      <w:r w:rsidRPr="00DE42C8">
        <w:t xml:space="preserve"> are now in</w:t>
      </w:r>
      <w:r w:rsidR="00DE42C8" w:rsidRPr="00DE42C8">
        <w:t xml:space="preserve"> </w:t>
      </w:r>
      <w:r w:rsidRPr="00DE42C8">
        <w:t>line with consensus following better-than-expected Q3 production results released earlier this week, the company has flagged that it may raise guidance, based on an expected strong</w:t>
      </w:r>
      <w:r w:rsidR="004C4277" w:rsidRPr="00DE42C8">
        <w:t>er</w:t>
      </w:r>
      <w:r w:rsidRPr="00DE42C8">
        <w:t xml:space="preserve"> Q4, supported by EL </w:t>
      </w:r>
      <w:proofErr w:type="spellStart"/>
      <w:r w:rsidRPr="00DE42C8">
        <w:t>Penon</w:t>
      </w:r>
      <w:proofErr w:type="spellEnd"/>
      <w:r w:rsidR="00DE42C8" w:rsidRPr="00DE42C8">
        <w:t>,</w:t>
      </w:r>
      <w:r w:rsidRPr="00DE42C8">
        <w:t xml:space="preserve"> which is tracking better than expectations.  In our view, this represents a potentially positive catalyst for shares of AUY heading into the quarter.</w:t>
      </w:r>
    </w:p>
    <w:p w:rsidR="00EA65BB" w:rsidRPr="00456B1D" w:rsidRDefault="000147F4" w:rsidP="00EA65BB">
      <w:pPr>
        <w:pStyle w:val="BodyText"/>
      </w:pPr>
      <w:r>
        <w:t xml:space="preserve">Among the medium producers, </w:t>
      </w:r>
      <w:r w:rsidR="00DA4FD8">
        <w:t>a number of companies have a</w:t>
      </w:r>
      <w:r w:rsidR="00494812">
        <w:t>lready reported production that</w:t>
      </w:r>
      <w:r w:rsidR="00DA4FD8">
        <w:t xml:space="preserve"> has narrowed the range of earnings estimates. Notably, we expect earnings for </w:t>
      </w:r>
      <w:r w:rsidR="00DA4FD8" w:rsidRPr="006475B4">
        <w:rPr>
          <w:rFonts w:ascii="Dax-Bold" w:hAnsi="Dax-Bold"/>
        </w:rPr>
        <w:t>Detour Gold</w:t>
      </w:r>
      <w:r w:rsidR="00DA4FD8">
        <w:t xml:space="preserve"> and </w:t>
      </w:r>
      <w:r w:rsidR="00DA4FD8" w:rsidRPr="006475B4">
        <w:rPr>
          <w:rFonts w:ascii="Dax-Bold" w:hAnsi="Dax-Bold"/>
        </w:rPr>
        <w:t>Endeavour Mining</w:t>
      </w:r>
      <w:r w:rsidR="00DA4FD8">
        <w:t xml:space="preserve"> to be below consensus. In the case of Detour, we expect another strong operational quarter as the mining rate continues to increase, and the variance appears to stem from assumptions made in transitioning from the convertible debentures to the US$500M bank facility. For Endeavour, we expect seasonal factors to affect operations and result in a weaker quarter, but the difference is likely exacerbated by </w:t>
      </w:r>
      <w:r w:rsidR="00456B1D">
        <w:t>treatment of the</w:t>
      </w:r>
      <w:r w:rsidR="00DA4FD8">
        <w:t xml:space="preserve"> shares issued </w:t>
      </w:r>
      <w:r w:rsidR="00456B1D">
        <w:t>for</w:t>
      </w:r>
      <w:r w:rsidR="00DA4FD8">
        <w:t xml:space="preserve"> the </w:t>
      </w:r>
      <w:proofErr w:type="spellStart"/>
      <w:r w:rsidR="00DA4FD8">
        <w:t>Avnel</w:t>
      </w:r>
      <w:proofErr w:type="spellEnd"/>
      <w:r w:rsidR="00DA4FD8">
        <w:t xml:space="preserve"> acquisition and deconsolidation of the </w:t>
      </w:r>
      <w:proofErr w:type="gramStart"/>
      <w:r w:rsidR="00DA4FD8">
        <w:t>discontinued</w:t>
      </w:r>
      <w:proofErr w:type="gramEnd"/>
      <w:r w:rsidR="00DA4FD8">
        <w:t xml:space="preserve"> Nzema mine</w:t>
      </w:r>
      <w:r w:rsidR="00456B1D">
        <w:t xml:space="preserve"> as consensus appears to be skewed by outlying estimates.</w:t>
      </w:r>
    </w:p>
    <w:p w:rsidR="00F43532" w:rsidRPr="00D316FB" w:rsidRDefault="00B3169D" w:rsidP="00B3169D">
      <w:pPr>
        <w:pStyle w:val="BodyText"/>
        <w:rPr>
          <w:highlight w:val="yellow"/>
        </w:rPr>
      </w:pPr>
      <w:r w:rsidRPr="00373751">
        <w:t>A full summary of our financial and operational estimates for the upcoming quarter, along with a reporting calendar, is included overleaf.</w:t>
      </w:r>
      <w:r w:rsidR="00F43532" w:rsidRPr="00D316FB">
        <w:rPr>
          <w:highlight w:val="yellow"/>
        </w:rPr>
        <w:br w:type="page"/>
      </w:r>
    </w:p>
    <w:p w:rsidR="002F223A" w:rsidRPr="00D316FB" w:rsidRDefault="002F223A" w:rsidP="002F223A">
      <w:pPr>
        <w:rPr>
          <w:highlight w:val="yellow"/>
        </w:rPr>
        <w:sectPr w:rsidR="002F223A" w:rsidRPr="00D316FB" w:rsidSect="00F668E1">
          <w:headerReference w:type="default" r:id="rId9"/>
          <w:pgSz w:w="12240" w:h="15840" w:code="1"/>
          <w:pgMar w:top="1080" w:right="720" w:bottom="1080" w:left="3600" w:header="288" w:footer="331" w:gutter="0"/>
          <w:pgNumType w:start="3"/>
          <w:cols w:space="288"/>
          <w:docGrid w:linePitch="360"/>
        </w:sectPr>
      </w:pPr>
    </w:p>
    <w:tbl>
      <w:tblPr>
        <w:tblW w:w="5000" w:type="pct"/>
        <w:tblCellMar>
          <w:left w:w="0" w:type="dxa"/>
          <w:right w:w="0" w:type="dxa"/>
        </w:tblCellMar>
        <w:tblLook w:val="0000" w:firstRow="0" w:lastRow="0" w:firstColumn="0" w:lastColumn="0" w:noHBand="0" w:noVBand="0"/>
      </w:tblPr>
      <w:tblGrid>
        <w:gridCol w:w="13680"/>
      </w:tblGrid>
      <w:tr w:rsidR="002F223A" w:rsidRPr="00E94BE1" w:rsidTr="00A0370B">
        <w:trPr>
          <w:trHeight w:val="200"/>
        </w:trPr>
        <w:tc>
          <w:tcPr>
            <w:tcW w:w="5000" w:type="pct"/>
          </w:tcPr>
          <w:p w:rsidR="002F223A" w:rsidRPr="00E94BE1" w:rsidRDefault="002F223A" w:rsidP="00316E81">
            <w:pPr>
              <w:pStyle w:val="ExhibitTitleBold"/>
              <w:keepNext/>
            </w:pPr>
            <w:r w:rsidRPr="00E94BE1">
              <w:lastRenderedPageBreak/>
              <w:t xml:space="preserve">Exhibit </w:t>
            </w:r>
            <w:r w:rsidR="00316E81">
              <w:t>2</w:t>
            </w:r>
            <w:r w:rsidRPr="00E94BE1">
              <w:t>:</w:t>
            </w:r>
            <w:r w:rsidR="008434C0">
              <w:t xml:space="preserve"> Summary of BMO Estimates for Q3</w:t>
            </w:r>
            <w:r w:rsidRPr="00E94BE1">
              <w:t>/17E (includes companies &gt; 400koz production in 2017E)</w:t>
            </w:r>
          </w:p>
        </w:tc>
      </w:tr>
      <w:tr w:rsidR="002F223A" w:rsidRPr="00E94BE1" w:rsidTr="00A0370B">
        <w:trPr>
          <w:trHeight w:val="262"/>
        </w:trPr>
        <w:tc>
          <w:tcPr>
            <w:tcW w:w="5000" w:type="pct"/>
            <w:vAlign w:val="center"/>
          </w:tcPr>
          <w:p w:rsidR="002F223A" w:rsidRPr="00E94BE1" w:rsidRDefault="00143218" w:rsidP="00143218">
            <w:pPr>
              <w:keepNext/>
              <w:jc w:val="center"/>
            </w:pPr>
            <w:r>
              <w:rPr>
                <w:noProof/>
              </w:rPr>
              <w:drawing>
                <wp:inline distT="0" distB="0" distL="0" distR="0">
                  <wp:extent cx="7835900" cy="5711348"/>
                  <wp:effectExtent l="0" t="0" r="0" b="3810"/>
                  <wp:docPr id="1" name="Picture 1" descr="&lt;DMID&gt;_DM_5f532ec53dc74f9e965fce5e794c29b8&lt;/DMID&g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5900" cy="5711348"/>
                          </a:xfrm>
                          <a:prstGeom prst="rect">
                            <a:avLst/>
                          </a:prstGeom>
                          <a:noFill/>
                          <a:ln>
                            <a:noFill/>
                          </a:ln>
                        </pic:spPr>
                      </pic:pic>
                    </a:graphicData>
                  </a:graphic>
                </wp:inline>
              </w:drawing>
            </w:r>
          </w:p>
        </w:tc>
      </w:tr>
      <w:tr w:rsidR="002F223A" w:rsidRPr="00E94BE1" w:rsidTr="00A0370B">
        <w:trPr>
          <w:trHeight w:val="127"/>
        </w:trPr>
        <w:tc>
          <w:tcPr>
            <w:tcW w:w="5000" w:type="pct"/>
            <w:tcBorders>
              <w:left w:val="nil"/>
              <w:bottom w:val="nil"/>
              <w:right w:val="nil"/>
            </w:tcBorders>
          </w:tcPr>
          <w:p w:rsidR="002F223A" w:rsidRPr="00E94BE1" w:rsidRDefault="002F223A" w:rsidP="00A0370B">
            <w:pPr>
              <w:pStyle w:val="Source"/>
              <w:keepNext/>
            </w:pPr>
            <w:r w:rsidRPr="00E94BE1">
              <w:t>Source: BMO Capital Markets, Company Filings, Bloomberg</w:t>
            </w:r>
          </w:p>
        </w:tc>
      </w:tr>
    </w:tbl>
    <w:p w:rsidR="002F223A" w:rsidRPr="00E94BE1" w:rsidRDefault="002F223A" w:rsidP="002F223A"/>
    <w:tbl>
      <w:tblPr>
        <w:tblW w:w="5000" w:type="pct"/>
        <w:tblCellMar>
          <w:left w:w="0" w:type="dxa"/>
          <w:right w:w="0" w:type="dxa"/>
        </w:tblCellMar>
        <w:tblLook w:val="0000" w:firstRow="0" w:lastRow="0" w:firstColumn="0" w:lastColumn="0" w:noHBand="0" w:noVBand="0"/>
      </w:tblPr>
      <w:tblGrid>
        <w:gridCol w:w="13680"/>
      </w:tblGrid>
      <w:tr w:rsidR="002F223A" w:rsidRPr="00E94BE1" w:rsidTr="00A0370B">
        <w:trPr>
          <w:trHeight w:val="200"/>
        </w:trPr>
        <w:tc>
          <w:tcPr>
            <w:tcW w:w="5000" w:type="pct"/>
          </w:tcPr>
          <w:p w:rsidR="002F223A" w:rsidRPr="00E94BE1" w:rsidRDefault="002F223A" w:rsidP="00316E81">
            <w:pPr>
              <w:pStyle w:val="ExhibitTitleBold"/>
              <w:keepNext/>
            </w:pPr>
            <w:r w:rsidRPr="00E94BE1">
              <w:lastRenderedPageBreak/>
              <w:br w:type="page"/>
              <w:t xml:space="preserve">Exhibit </w:t>
            </w:r>
            <w:r w:rsidR="00316E81">
              <w:t>3</w:t>
            </w:r>
            <w:bookmarkStart w:id="0" w:name="_GoBack"/>
            <w:bookmarkEnd w:id="0"/>
            <w:r w:rsidRPr="00E94BE1">
              <w:t>: Summary of Reporting Dates and Conference Call Details</w:t>
            </w:r>
          </w:p>
        </w:tc>
      </w:tr>
      <w:tr w:rsidR="002F223A" w:rsidRPr="00E94BE1" w:rsidTr="00A0370B">
        <w:trPr>
          <w:trHeight w:val="262"/>
        </w:trPr>
        <w:tc>
          <w:tcPr>
            <w:tcW w:w="5000" w:type="pct"/>
            <w:vAlign w:val="center"/>
          </w:tcPr>
          <w:p w:rsidR="002F223A" w:rsidRPr="00E94BE1" w:rsidRDefault="00143218" w:rsidP="00143218">
            <w:pPr>
              <w:keepNext/>
              <w:jc w:val="center"/>
            </w:pPr>
            <w:r>
              <w:rPr>
                <w:noProof/>
              </w:rPr>
              <w:drawing>
                <wp:inline distT="0" distB="0" distL="0" distR="0">
                  <wp:extent cx="7625715" cy="5943600"/>
                  <wp:effectExtent l="0" t="0" r="0" b="0"/>
                  <wp:docPr id="2" name="Picture 2" descr="&lt;DMID&gt;_DM_f28cc1386c644feea2b3db0b2bce06b1&lt;/DMID&g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5715" cy="5943600"/>
                          </a:xfrm>
                          <a:prstGeom prst="rect">
                            <a:avLst/>
                          </a:prstGeom>
                          <a:noFill/>
                          <a:ln>
                            <a:noFill/>
                          </a:ln>
                        </pic:spPr>
                      </pic:pic>
                    </a:graphicData>
                  </a:graphic>
                </wp:inline>
              </w:drawing>
            </w:r>
          </w:p>
        </w:tc>
      </w:tr>
      <w:tr w:rsidR="002F223A" w:rsidRPr="00C65688" w:rsidTr="00A0370B">
        <w:trPr>
          <w:trHeight w:val="127"/>
        </w:trPr>
        <w:tc>
          <w:tcPr>
            <w:tcW w:w="5000" w:type="pct"/>
            <w:tcBorders>
              <w:left w:val="nil"/>
              <w:bottom w:val="nil"/>
              <w:right w:val="nil"/>
            </w:tcBorders>
          </w:tcPr>
          <w:p w:rsidR="002F223A" w:rsidRPr="00C65688" w:rsidRDefault="002F223A" w:rsidP="00A0370B">
            <w:pPr>
              <w:pStyle w:val="Source"/>
              <w:keepNext/>
            </w:pPr>
            <w:r w:rsidRPr="00E94BE1">
              <w:t>Source: BMO Capital Markets, Company Filings</w:t>
            </w:r>
          </w:p>
        </w:tc>
      </w:tr>
    </w:tbl>
    <w:p w:rsidR="00356E98" w:rsidRDefault="00356E98" w:rsidP="00364BC4"/>
    <w:sectPr w:rsidR="00356E98" w:rsidSect="002F223A">
      <w:pgSz w:w="15840" w:h="12240" w:orient="landscape"/>
      <w:pgMar w:top="994"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CEE" w:rsidRDefault="009C311D">
      <w:r>
        <w:separator/>
      </w:r>
    </w:p>
  </w:endnote>
  <w:endnote w:type="continuationSeparator" w:id="0">
    <w:p w:rsidR="00AB0CEE" w:rsidRDefault="009C3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x-Regular">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ax-Bold">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ax-Medium">
    <w:panose1 w:val="000005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CEE" w:rsidRDefault="009C311D">
      <w:r>
        <w:separator/>
      </w:r>
    </w:p>
  </w:footnote>
  <w:footnote w:type="continuationSeparator" w:id="0">
    <w:p w:rsidR="00AB0CEE" w:rsidRDefault="009C31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A48" w:rsidRDefault="00316E81" w:rsidP="00E30D81">
    <w:pPr>
      <w:ind w:left="-2880"/>
    </w:pPr>
  </w:p>
  <w:p w:rsidR="00A31A48" w:rsidRDefault="00316E8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5F85"/>
    <w:multiLevelType w:val="hybridMultilevel"/>
    <w:tmpl w:val="4F3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2F223A"/>
    <w:rsid w:val="0000618B"/>
    <w:rsid w:val="00007C91"/>
    <w:rsid w:val="000109D4"/>
    <w:rsid w:val="0001304A"/>
    <w:rsid w:val="0001446B"/>
    <w:rsid w:val="000147F4"/>
    <w:rsid w:val="00015A80"/>
    <w:rsid w:val="000319DA"/>
    <w:rsid w:val="000359D7"/>
    <w:rsid w:val="00051E28"/>
    <w:rsid w:val="000658E6"/>
    <w:rsid w:val="0007085D"/>
    <w:rsid w:val="00076163"/>
    <w:rsid w:val="000770D5"/>
    <w:rsid w:val="000830CC"/>
    <w:rsid w:val="00096CAE"/>
    <w:rsid w:val="000B2874"/>
    <w:rsid w:val="000B63BF"/>
    <w:rsid w:val="000C1745"/>
    <w:rsid w:val="000E0D9E"/>
    <w:rsid w:val="000E7B54"/>
    <w:rsid w:val="000F62CC"/>
    <w:rsid w:val="00111FFF"/>
    <w:rsid w:val="0012521C"/>
    <w:rsid w:val="00143218"/>
    <w:rsid w:val="001463A9"/>
    <w:rsid w:val="0015592A"/>
    <w:rsid w:val="00160BC5"/>
    <w:rsid w:val="001610F0"/>
    <w:rsid w:val="001619B4"/>
    <w:rsid w:val="00161D58"/>
    <w:rsid w:val="00184842"/>
    <w:rsid w:val="001922FD"/>
    <w:rsid w:val="00192A59"/>
    <w:rsid w:val="00192CE5"/>
    <w:rsid w:val="00194E08"/>
    <w:rsid w:val="001A444F"/>
    <w:rsid w:val="001A5A03"/>
    <w:rsid w:val="001C226E"/>
    <w:rsid w:val="001D7904"/>
    <w:rsid w:val="001D7D16"/>
    <w:rsid w:val="001F4E30"/>
    <w:rsid w:val="002129C0"/>
    <w:rsid w:val="00232BCC"/>
    <w:rsid w:val="00237C04"/>
    <w:rsid w:val="00244053"/>
    <w:rsid w:val="00245AF9"/>
    <w:rsid w:val="00254468"/>
    <w:rsid w:val="0025662D"/>
    <w:rsid w:val="00284BE2"/>
    <w:rsid w:val="0028531B"/>
    <w:rsid w:val="00292A88"/>
    <w:rsid w:val="002B772B"/>
    <w:rsid w:val="002C188C"/>
    <w:rsid w:val="002C29ED"/>
    <w:rsid w:val="002C6D27"/>
    <w:rsid w:val="002E4615"/>
    <w:rsid w:val="002F223A"/>
    <w:rsid w:val="002F5745"/>
    <w:rsid w:val="002F5942"/>
    <w:rsid w:val="003010ED"/>
    <w:rsid w:val="003042A0"/>
    <w:rsid w:val="003060C2"/>
    <w:rsid w:val="00314BAD"/>
    <w:rsid w:val="00314E7D"/>
    <w:rsid w:val="00316621"/>
    <w:rsid w:val="00316E81"/>
    <w:rsid w:val="003200CC"/>
    <w:rsid w:val="003257AC"/>
    <w:rsid w:val="00331CBC"/>
    <w:rsid w:val="00352B0E"/>
    <w:rsid w:val="00356E98"/>
    <w:rsid w:val="00363C54"/>
    <w:rsid w:val="00363CA6"/>
    <w:rsid w:val="003647C4"/>
    <w:rsid w:val="00364BC4"/>
    <w:rsid w:val="00373751"/>
    <w:rsid w:val="00377CA8"/>
    <w:rsid w:val="003846C3"/>
    <w:rsid w:val="003855F5"/>
    <w:rsid w:val="00385D80"/>
    <w:rsid w:val="003953AD"/>
    <w:rsid w:val="00395E18"/>
    <w:rsid w:val="003A34A5"/>
    <w:rsid w:val="003B1704"/>
    <w:rsid w:val="003C29F8"/>
    <w:rsid w:val="003C2B81"/>
    <w:rsid w:val="003E0325"/>
    <w:rsid w:val="003E1C5C"/>
    <w:rsid w:val="003F0D2F"/>
    <w:rsid w:val="00406767"/>
    <w:rsid w:val="00410E5F"/>
    <w:rsid w:val="004173CD"/>
    <w:rsid w:val="004305EB"/>
    <w:rsid w:val="004429D0"/>
    <w:rsid w:val="004446BB"/>
    <w:rsid w:val="00445770"/>
    <w:rsid w:val="00445C35"/>
    <w:rsid w:val="004463A7"/>
    <w:rsid w:val="00447616"/>
    <w:rsid w:val="004505A9"/>
    <w:rsid w:val="00453CAA"/>
    <w:rsid w:val="004547A9"/>
    <w:rsid w:val="00456B1D"/>
    <w:rsid w:val="0046248E"/>
    <w:rsid w:val="004717DC"/>
    <w:rsid w:val="004723D8"/>
    <w:rsid w:val="00473F1A"/>
    <w:rsid w:val="00484351"/>
    <w:rsid w:val="00484377"/>
    <w:rsid w:val="004869C1"/>
    <w:rsid w:val="0048705B"/>
    <w:rsid w:val="00494812"/>
    <w:rsid w:val="004A0A0C"/>
    <w:rsid w:val="004A5933"/>
    <w:rsid w:val="004B4928"/>
    <w:rsid w:val="004C0108"/>
    <w:rsid w:val="004C4277"/>
    <w:rsid w:val="004C525B"/>
    <w:rsid w:val="004D02AC"/>
    <w:rsid w:val="004E0D19"/>
    <w:rsid w:val="004E57B9"/>
    <w:rsid w:val="004E7682"/>
    <w:rsid w:val="004F5E6B"/>
    <w:rsid w:val="005021F2"/>
    <w:rsid w:val="005031CF"/>
    <w:rsid w:val="005034D5"/>
    <w:rsid w:val="005045DA"/>
    <w:rsid w:val="00507F4A"/>
    <w:rsid w:val="00526204"/>
    <w:rsid w:val="0053457F"/>
    <w:rsid w:val="00535A50"/>
    <w:rsid w:val="0054079B"/>
    <w:rsid w:val="005426DF"/>
    <w:rsid w:val="00542EA0"/>
    <w:rsid w:val="005436D7"/>
    <w:rsid w:val="00555BEE"/>
    <w:rsid w:val="005571CB"/>
    <w:rsid w:val="00585982"/>
    <w:rsid w:val="00594938"/>
    <w:rsid w:val="00597E76"/>
    <w:rsid w:val="005A203B"/>
    <w:rsid w:val="005A442B"/>
    <w:rsid w:val="005A5F73"/>
    <w:rsid w:val="005B0734"/>
    <w:rsid w:val="005B16E8"/>
    <w:rsid w:val="005B7AB3"/>
    <w:rsid w:val="005C1100"/>
    <w:rsid w:val="005E40ED"/>
    <w:rsid w:val="005F37A1"/>
    <w:rsid w:val="005F5DED"/>
    <w:rsid w:val="006021CA"/>
    <w:rsid w:val="006021DD"/>
    <w:rsid w:val="00602FFE"/>
    <w:rsid w:val="00620309"/>
    <w:rsid w:val="00620806"/>
    <w:rsid w:val="0062684F"/>
    <w:rsid w:val="006475B4"/>
    <w:rsid w:val="006509C6"/>
    <w:rsid w:val="00657935"/>
    <w:rsid w:val="00665316"/>
    <w:rsid w:val="006717FD"/>
    <w:rsid w:val="00671FC2"/>
    <w:rsid w:val="006771BD"/>
    <w:rsid w:val="00682662"/>
    <w:rsid w:val="00683CC4"/>
    <w:rsid w:val="006916F4"/>
    <w:rsid w:val="006A0AD5"/>
    <w:rsid w:val="006B0627"/>
    <w:rsid w:val="006B16ED"/>
    <w:rsid w:val="006B42F6"/>
    <w:rsid w:val="006B6EA6"/>
    <w:rsid w:val="006B719C"/>
    <w:rsid w:val="006C2EF7"/>
    <w:rsid w:val="006C2F61"/>
    <w:rsid w:val="006C4188"/>
    <w:rsid w:val="006C4BD4"/>
    <w:rsid w:val="006D6E87"/>
    <w:rsid w:val="006E5983"/>
    <w:rsid w:val="006F0C5C"/>
    <w:rsid w:val="006F2B68"/>
    <w:rsid w:val="006F3921"/>
    <w:rsid w:val="006F6091"/>
    <w:rsid w:val="00700315"/>
    <w:rsid w:val="00704ABD"/>
    <w:rsid w:val="007239AB"/>
    <w:rsid w:val="00732182"/>
    <w:rsid w:val="007353B5"/>
    <w:rsid w:val="00750308"/>
    <w:rsid w:val="0075793E"/>
    <w:rsid w:val="00760921"/>
    <w:rsid w:val="00763709"/>
    <w:rsid w:val="00774A57"/>
    <w:rsid w:val="007800CC"/>
    <w:rsid w:val="0078459B"/>
    <w:rsid w:val="007861FF"/>
    <w:rsid w:val="00787D51"/>
    <w:rsid w:val="007918C8"/>
    <w:rsid w:val="007940E8"/>
    <w:rsid w:val="007A1344"/>
    <w:rsid w:val="007A71AC"/>
    <w:rsid w:val="007B2990"/>
    <w:rsid w:val="007B63B5"/>
    <w:rsid w:val="007B65C0"/>
    <w:rsid w:val="007C76A7"/>
    <w:rsid w:val="007D2485"/>
    <w:rsid w:val="007D411F"/>
    <w:rsid w:val="007E23E4"/>
    <w:rsid w:val="007E454B"/>
    <w:rsid w:val="007F797D"/>
    <w:rsid w:val="00801293"/>
    <w:rsid w:val="00802005"/>
    <w:rsid w:val="00805BD7"/>
    <w:rsid w:val="00813708"/>
    <w:rsid w:val="00825111"/>
    <w:rsid w:val="00826653"/>
    <w:rsid w:val="00831B5E"/>
    <w:rsid w:val="00835F35"/>
    <w:rsid w:val="008371AC"/>
    <w:rsid w:val="0084078D"/>
    <w:rsid w:val="00840AF7"/>
    <w:rsid w:val="008434C0"/>
    <w:rsid w:val="008453A9"/>
    <w:rsid w:val="0084604D"/>
    <w:rsid w:val="0086436A"/>
    <w:rsid w:val="00866467"/>
    <w:rsid w:val="008856DB"/>
    <w:rsid w:val="008954BC"/>
    <w:rsid w:val="00897B3A"/>
    <w:rsid w:val="008A1400"/>
    <w:rsid w:val="008B0DF8"/>
    <w:rsid w:val="008C295A"/>
    <w:rsid w:val="008E2666"/>
    <w:rsid w:val="008E2BA2"/>
    <w:rsid w:val="008E35A0"/>
    <w:rsid w:val="008F00C4"/>
    <w:rsid w:val="008F393F"/>
    <w:rsid w:val="00900785"/>
    <w:rsid w:val="00902905"/>
    <w:rsid w:val="0090659D"/>
    <w:rsid w:val="00910AB3"/>
    <w:rsid w:val="00910F3F"/>
    <w:rsid w:val="00913509"/>
    <w:rsid w:val="00916337"/>
    <w:rsid w:val="00917065"/>
    <w:rsid w:val="00924571"/>
    <w:rsid w:val="00926034"/>
    <w:rsid w:val="009459F0"/>
    <w:rsid w:val="00951E20"/>
    <w:rsid w:val="00953148"/>
    <w:rsid w:val="009552A8"/>
    <w:rsid w:val="00962E87"/>
    <w:rsid w:val="00964BC2"/>
    <w:rsid w:val="009701AA"/>
    <w:rsid w:val="009741E6"/>
    <w:rsid w:val="00976791"/>
    <w:rsid w:val="00986FCB"/>
    <w:rsid w:val="00994C4E"/>
    <w:rsid w:val="00996310"/>
    <w:rsid w:val="0099631E"/>
    <w:rsid w:val="009A0B20"/>
    <w:rsid w:val="009A17E1"/>
    <w:rsid w:val="009A1E49"/>
    <w:rsid w:val="009B1FD4"/>
    <w:rsid w:val="009B74A9"/>
    <w:rsid w:val="009C24B6"/>
    <w:rsid w:val="009C311D"/>
    <w:rsid w:val="009D6F25"/>
    <w:rsid w:val="009F1192"/>
    <w:rsid w:val="009F14B7"/>
    <w:rsid w:val="009F1B5D"/>
    <w:rsid w:val="009F3F9E"/>
    <w:rsid w:val="009F5AFE"/>
    <w:rsid w:val="00A067B5"/>
    <w:rsid w:val="00A0707D"/>
    <w:rsid w:val="00A234F1"/>
    <w:rsid w:val="00A25B94"/>
    <w:rsid w:val="00A262AE"/>
    <w:rsid w:val="00A272BB"/>
    <w:rsid w:val="00A27439"/>
    <w:rsid w:val="00A363EF"/>
    <w:rsid w:val="00A45924"/>
    <w:rsid w:val="00A745CF"/>
    <w:rsid w:val="00AA1692"/>
    <w:rsid w:val="00AB06C1"/>
    <w:rsid w:val="00AB0CEE"/>
    <w:rsid w:val="00AB16C8"/>
    <w:rsid w:val="00AB52F7"/>
    <w:rsid w:val="00AB5651"/>
    <w:rsid w:val="00AB5667"/>
    <w:rsid w:val="00AB61BB"/>
    <w:rsid w:val="00AB7B2C"/>
    <w:rsid w:val="00AC3913"/>
    <w:rsid w:val="00AC6C04"/>
    <w:rsid w:val="00AC799B"/>
    <w:rsid w:val="00AD119A"/>
    <w:rsid w:val="00AD2D7D"/>
    <w:rsid w:val="00AD31D0"/>
    <w:rsid w:val="00AD3663"/>
    <w:rsid w:val="00AF0FE5"/>
    <w:rsid w:val="00AF21BB"/>
    <w:rsid w:val="00B229A8"/>
    <w:rsid w:val="00B30A4D"/>
    <w:rsid w:val="00B3169D"/>
    <w:rsid w:val="00B33FE1"/>
    <w:rsid w:val="00B341DF"/>
    <w:rsid w:val="00B34A4F"/>
    <w:rsid w:val="00B420D0"/>
    <w:rsid w:val="00B50B5C"/>
    <w:rsid w:val="00B577C0"/>
    <w:rsid w:val="00B63C55"/>
    <w:rsid w:val="00B66FCE"/>
    <w:rsid w:val="00B81E0F"/>
    <w:rsid w:val="00B841AA"/>
    <w:rsid w:val="00B85379"/>
    <w:rsid w:val="00BA232A"/>
    <w:rsid w:val="00BC1172"/>
    <w:rsid w:val="00BC11D4"/>
    <w:rsid w:val="00BC5F65"/>
    <w:rsid w:val="00BE2724"/>
    <w:rsid w:val="00BF48F4"/>
    <w:rsid w:val="00BF5F28"/>
    <w:rsid w:val="00C01D2D"/>
    <w:rsid w:val="00C03CBC"/>
    <w:rsid w:val="00C10E6E"/>
    <w:rsid w:val="00C20337"/>
    <w:rsid w:val="00C21007"/>
    <w:rsid w:val="00C379DF"/>
    <w:rsid w:val="00C40695"/>
    <w:rsid w:val="00C50FD6"/>
    <w:rsid w:val="00C6135E"/>
    <w:rsid w:val="00C6593C"/>
    <w:rsid w:val="00C74004"/>
    <w:rsid w:val="00C80D4A"/>
    <w:rsid w:val="00C8462E"/>
    <w:rsid w:val="00C8779D"/>
    <w:rsid w:val="00C92556"/>
    <w:rsid w:val="00C95F4D"/>
    <w:rsid w:val="00C97519"/>
    <w:rsid w:val="00CA124B"/>
    <w:rsid w:val="00CA207F"/>
    <w:rsid w:val="00CA3E4E"/>
    <w:rsid w:val="00CC22F7"/>
    <w:rsid w:val="00CD07F0"/>
    <w:rsid w:val="00CD4991"/>
    <w:rsid w:val="00CD7699"/>
    <w:rsid w:val="00CF033A"/>
    <w:rsid w:val="00D0223D"/>
    <w:rsid w:val="00D11669"/>
    <w:rsid w:val="00D23F65"/>
    <w:rsid w:val="00D316FB"/>
    <w:rsid w:val="00D33516"/>
    <w:rsid w:val="00D3671D"/>
    <w:rsid w:val="00D44FBB"/>
    <w:rsid w:val="00D46929"/>
    <w:rsid w:val="00D56762"/>
    <w:rsid w:val="00D63763"/>
    <w:rsid w:val="00D66E3E"/>
    <w:rsid w:val="00D80506"/>
    <w:rsid w:val="00D82F70"/>
    <w:rsid w:val="00D8376B"/>
    <w:rsid w:val="00D87087"/>
    <w:rsid w:val="00D90BBF"/>
    <w:rsid w:val="00D92CCA"/>
    <w:rsid w:val="00DA24F8"/>
    <w:rsid w:val="00DA4FD8"/>
    <w:rsid w:val="00DB39E4"/>
    <w:rsid w:val="00DC22F8"/>
    <w:rsid w:val="00DC30A6"/>
    <w:rsid w:val="00DC323B"/>
    <w:rsid w:val="00DC4B52"/>
    <w:rsid w:val="00DC71DD"/>
    <w:rsid w:val="00DD1EA4"/>
    <w:rsid w:val="00DD6EE0"/>
    <w:rsid w:val="00DE42C8"/>
    <w:rsid w:val="00DF2CD6"/>
    <w:rsid w:val="00E13479"/>
    <w:rsid w:val="00E13D21"/>
    <w:rsid w:val="00E15A26"/>
    <w:rsid w:val="00E20D99"/>
    <w:rsid w:val="00E25044"/>
    <w:rsid w:val="00E310F1"/>
    <w:rsid w:val="00E3684B"/>
    <w:rsid w:val="00E36BEC"/>
    <w:rsid w:val="00E46A5A"/>
    <w:rsid w:val="00E603AC"/>
    <w:rsid w:val="00E62695"/>
    <w:rsid w:val="00E803A3"/>
    <w:rsid w:val="00E81050"/>
    <w:rsid w:val="00E8295E"/>
    <w:rsid w:val="00E94BE1"/>
    <w:rsid w:val="00E950B4"/>
    <w:rsid w:val="00EA1BC4"/>
    <w:rsid w:val="00EA32E8"/>
    <w:rsid w:val="00EA4ACE"/>
    <w:rsid w:val="00EA65BB"/>
    <w:rsid w:val="00EA78B7"/>
    <w:rsid w:val="00EC49C0"/>
    <w:rsid w:val="00EE4095"/>
    <w:rsid w:val="00EF3E25"/>
    <w:rsid w:val="00F02826"/>
    <w:rsid w:val="00F2234D"/>
    <w:rsid w:val="00F22C84"/>
    <w:rsid w:val="00F374CB"/>
    <w:rsid w:val="00F37F1C"/>
    <w:rsid w:val="00F43532"/>
    <w:rsid w:val="00F4666E"/>
    <w:rsid w:val="00F47540"/>
    <w:rsid w:val="00F509F0"/>
    <w:rsid w:val="00F531B2"/>
    <w:rsid w:val="00F6165D"/>
    <w:rsid w:val="00F733BF"/>
    <w:rsid w:val="00F73B08"/>
    <w:rsid w:val="00F77392"/>
    <w:rsid w:val="00F9218D"/>
    <w:rsid w:val="00FA0F5B"/>
    <w:rsid w:val="00FB04C7"/>
    <w:rsid w:val="00FB1BC3"/>
    <w:rsid w:val="00FB2C63"/>
    <w:rsid w:val="00FB2FDB"/>
    <w:rsid w:val="00FC08A5"/>
    <w:rsid w:val="00FC41C1"/>
    <w:rsid w:val="00FC6B7D"/>
    <w:rsid w:val="00FD19AE"/>
    <w:rsid w:val="00FE4D3B"/>
    <w:rsid w:val="00FF6A39"/>
    <w:rsid w:val="00FF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23A"/>
    <w:pPr>
      <w:spacing w:after="0" w:line="240" w:lineRule="auto"/>
    </w:pPr>
    <w:rPr>
      <w:rFonts w:ascii="Dax-Regular" w:eastAsia="Times New Roman" w:hAnsi="Dax-Regular" w:cs="Times New Roman"/>
      <w:sz w:val="18"/>
      <w:szCs w:val="18"/>
    </w:rPr>
  </w:style>
  <w:style w:type="paragraph" w:styleId="Heading1">
    <w:name w:val="heading 1"/>
    <w:basedOn w:val="Normal"/>
    <w:next w:val="Normal"/>
    <w:link w:val="Heading1Char"/>
    <w:uiPriority w:val="9"/>
    <w:qFormat/>
    <w:rsid w:val="002F22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Text"/>
    <w:link w:val="Heading2Char"/>
    <w:uiPriority w:val="9"/>
    <w:unhideWhenUsed/>
    <w:qFormat/>
    <w:rsid w:val="002F223A"/>
    <w:pPr>
      <w:suppressAutoHyphens/>
      <w:autoSpaceDE w:val="0"/>
      <w:autoSpaceDN w:val="0"/>
      <w:adjustRightInd w:val="0"/>
      <w:spacing w:before="360" w:after="240" w:line="240" w:lineRule="auto"/>
      <w:textAlignment w:val="center"/>
      <w:outlineLvl w:val="1"/>
    </w:pPr>
    <w:rPr>
      <w:rFonts w:ascii="Dax-Bold" w:eastAsia="Times New Roman" w:hAnsi="Dax-Bold" w:cs="Dax-Bold"/>
      <w:i/>
      <w:color w:val="0079C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23A"/>
    <w:rPr>
      <w:rFonts w:ascii="Dax-Bold" w:eastAsia="Times New Roman" w:hAnsi="Dax-Bold" w:cs="Dax-Bold"/>
      <w:i/>
      <w:color w:val="0079C2"/>
      <w:szCs w:val="27"/>
    </w:rPr>
  </w:style>
  <w:style w:type="paragraph" w:styleId="BodyText">
    <w:name w:val="Body Text"/>
    <w:link w:val="BodyTextChar"/>
    <w:uiPriority w:val="1"/>
    <w:qFormat/>
    <w:rsid w:val="002F223A"/>
    <w:pPr>
      <w:spacing w:after="180" w:line="260" w:lineRule="exact"/>
    </w:pPr>
    <w:rPr>
      <w:rFonts w:ascii="Dax-Regular" w:eastAsia="Dax-Regular" w:hAnsi="Dax-Regular" w:cs="Dax-Regular"/>
      <w:color w:val="000000"/>
      <w:sz w:val="18"/>
      <w:szCs w:val="18"/>
    </w:rPr>
  </w:style>
  <w:style w:type="character" w:customStyle="1" w:styleId="BodyTextChar">
    <w:name w:val="Body Text Char"/>
    <w:basedOn w:val="DefaultParagraphFont"/>
    <w:link w:val="BodyText"/>
    <w:uiPriority w:val="1"/>
    <w:rsid w:val="002F223A"/>
    <w:rPr>
      <w:rFonts w:ascii="Dax-Regular" w:eastAsia="Dax-Regular" w:hAnsi="Dax-Regular" w:cs="Dax-Regular"/>
      <w:color w:val="000000"/>
      <w:sz w:val="18"/>
      <w:szCs w:val="18"/>
    </w:rPr>
  </w:style>
  <w:style w:type="paragraph" w:customStyle="1" w:styleId="ExhibitTitleBold">
    <w:name w:val="Exhibit Title Bold"/>
    <w:next w:val="Normal"/>
    <w:uiPriority w:val="99"/>
    <w:qFormat/>
    <w:rsid w:val="002F223A"/>
    <w:pPr>
      <w:tabs>
        <w:tab w:val="left" w:pos="2475"/>
      </w:tabs>
      <w:autoSpaceDE w:val="0"/>
      <w:autoSpaceDN w:val="0"/>
      <w:adjustRightInd w:val="0"/>
      <w:spacing w:before="120" w:after="40" w:line="240" w:lineRule="auto"/>
      <w:textAlignment w:val="center"/>
    </w:pPr>
    <w:rPr>
      <w:rFonts w:ascii="Dax-Bold" w:eastAsia="Times New Roman" w:hAnsi="Dax-Bold" w:cs="Dax-Regular"/>
      <w:color w:val="000000"/>
      <w:sz w:val="18"/>
      <w:szCs w:val="18"/>
      <w:lang w:val="en-GB"/>
    </w:rPr>
  </w:style>
  <w:style w:type="paragraph" w:customStyle="1" w:styleId="Source">
    <w:name w:val="Source"/>
    <w:next w:val="BodyText"/>
    <w:link w:val="SourceChar"/>
    <w:uiPriority w:val="99"/>
    <w:qFormat/>
    <w:rsid w:val="002F223A"/>
    <w:pPr>
      <w:autoSpaceDE w:val="0"/>
      <w:autoSpaceDN w:val="0"/>
      <w:adjustRightInd w:val="0"/>
      <w:spacing w:before="40" w:after="120" w:line="240" w:lineRule="auto"/>
      <w:textAlignment w:val="center"/>
    </w:pPr>
    <w:rPr>
      <w:rFonts w:ascii="Dax-Regular" w:eastAsia="Times New Roman" w:hAnsi="Dax-Regular" w:cs="Dax-Regular"/>
      <w:color w:val="000000"/>
      <w:sz w:val="16"/>
      <w:szCs w:val="16"/>
    </w:rPr>
  </w:style>
  <w:style w:type="character" w:customStyle="1" w:styleId="SourceChar">
    <w:name w:val="Source Char"/>
    <w:link w:val="Source"/>
    <w:uiPriority w:val="99"/>
    <w:rsid w:val="002F223A"/>
    <w:rPr>
      <w:rFonts w:ascii="Dax-Regular" w:eastAsia="Times New Roman" w:hAnsi="Dax-Regular" w:cs="Dax-Regular"/>
      <w:color w:val="000000"/>
      <w:sz w:val="16"/>
      <w:szCs w:val="16"/>
    </w:rPr>
  </w:style>
  <w:style w:type="paragraph" w:customStyle="1" w:styleId="Heading1forTopofPage">
    <w:name w:val="Heading 1 for Top of Page"/>
    <w:basedOn w:val="Heading1"/>
    <w:qFormat/>
    <w:rsid w:val="002F223A"/>
    <w:pPr>
      <w:spacing w:before="0" w:after="240"/>
    </w:pPr>
    <w:rPr>
      <w:rFonts w:ascii="Dax-Bold" w:eastAsia="Times New Roman" w:hAnsi="Dax-Bold" w:cs="Times New Roman"/>
      <w:b w:val="0"/>
      <w:color w:val="0079C2"/>
      <w:sz w:val="27"/>
      <w:szCs w:val="20"/>
      <w:lang w:eastAsia="ja-JP"/>
    </w:rPr>
  </w:style>
  <w:style w:type="character" w:customStyle="1" w:styleId="Heading1Char">
    <w:name w:val="Heading 1 Char"/>
    <w:basedOn w:val="DefaultParagraphFont"/>
    <w:link w:val="Heading1"/>
    <w:uiPriority w:val="9"/>
    <w:rsid w:val="002F223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223A"/>
    <w:rPr>
      <w:rFonts w:ascii="Tahoma" w:hAnsi="Tahoma" w:cs="Tahoma"/>
      <w:sz w:val="16"/>
      <w:szCs w:val="16"/>
    </w:rPr>
  </w:style>
  <w:style w:type="character" w:customStyle="1" w:styleId="BalloonTextChar">
    <w:name w:val="Balloon Text Char"/>
    <w:basedOn w:val="DefaultParagraphFont"/>
    <w:link w:val="BalloonText"/>
    <w:uiPriority w:val="99"/>
    <w:semiHidden/>
    <w:rsid w:val="002F223A"/>
    <w:rPr>
      <w:rFonts w:ascii="Tahoma" w:eastAsia="Times New Roman" w:hAnsi="Tahoma" w:cs="Tahoma"/>
      <w:sz w:val="16"/>
      <w:szCs w:val="16"/>
    </w:rPr>
  </w:style>
  <w:style w:type="paragraph" w:styleId="ListParagraph">
    <w:name w:val="List Paragraph"/>
    <w:basedOn w:val="Normal"/>
    <w:uiPriority w:val="34"/>
    <w:qFormat/>
    <w:rsid w:val="00F43532"/>
    <w:pPr>
      <w:ind w:left="720"/>
      <w:contextualSpacing/>
    </w:pPr>
  </w:style>
  <w:style w:type="paragraph" w:customStyle="1" w:styleId="CallOut">
    <w:name w:val="Call Out"/>
    <w:uiPriority w:val="99"/>
    <w:qFormat/>
    <w:rsid w:val="007B63B5"/>
    <w:pPr>
      <w:suppressAutoHyphens/>
      <w:spacing w:after="120" w:line="260" w:lineRule="exact"/>
    </w:pPr>
    <w:rPr>
      <w:rFonts w:ascii="Dax-Medium" w:eastAsia="Times New Roman" w:hAnsi="Dax-Medium" w:cs="Dax-Medium"/>
      <w:color w:val="0079C2"/>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23A"/>
    <w:pPr>
      <w:spacing w:after="0" w:line="240" w:lineRule="auto"/>
    </w:pPr>
    <w:rPr>
      <w:rFonts w:ascii="Dax-Regular" w:eastAsia="Times New Roman" w:hAnsi="Dax-Regular" w:cs="Times New Roman"/>
      <w:sz w:val="18"/>
      <w:szCs w:val="18"/>
    </w:rPr>
  </w:style>
  <w:style w:type="paragraph" w:styleId="Heading1">
    <w:name w:val="heading 1"/>
    <w:basedOn w:val="Normal"/>
    <w:next w:val="Normal"/>
    <w:link w:val="Heading1Char"/>
    <w:uiPriority w:val="9"/>
    <w:qFormat/>
    <w:rsid w:val="002F22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Text"/>
    <w:link w:val="Heading2Char"/>
    <w:uiPriority w:val="9"/>
    <w:unhideWhenUsed/>
    <w:qFormat/>
    <w:rsid w:val="002F223A"/>
    <w:pPr>
      <w:suppressAutoHyphens/>
      <w:autoSpaceDE w:val="0"/>
      <w:autoSpaceDN w:val="0"/>
      <w:adjustRightInd w:val="0"/>
      <w:spacing w:before="360" w:after="240" w:line="240" w:lineRule="auto"/>
      <w:textAlignment w:val="center"/>
      <w:outlineLvl w:val="1"/>
    </w:pPr>
    <w:rPr>
      <w:rFonts w:ascii="Dax-Bold" w:eastAsia="Times New Roman" w:hAnsi="Dax-Bold" w:cs="Dax-Bold"/>
      <w:i/>
      <w:color w:val="0079C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23A"/>
    <w:rPr>
      <w:rFonts w:ascii="Dax-Bold" w:eastAsia="Times New Roman" w:hAnsi="Dax-Bold" w:cs="Dax-Bold"/>
      <w:i/>
      <w:color w:val="0079C2"/>
      <w:szCs w:val="27"/>
    </w:rPr>
  </w:style>
  <w:style w:type="paragraph" w:styleId="BodyText">
    <w:name w:val="Body Text"/>
    <w:link w:val="BodyTextChar"/>
    <w:uiPriority w:val="1"/>
    <w:qFormat/>
    <w:rsid w:val="002F223A"/>
    <w:pPr>
      <w:spacing w:after="180" w:line="260" w:lineRule="exact"/>
    </w:pPr>
    <w:rPr>
      <w:rFonts w:ascii="Dax-Regular" w:eastAsia="Dax-Regular" w:hAnsi="Dax-Regular" w:cs="Dax-Regular"/>
      <w:color w:val="000000"/>
      <w:sz w:val="18"/>
      <w:szCs w:val="18"/>
    </w:rPr>
  </w:style>
  <w:style w:type="character" w:customStyle="1" w:styleId="BodyTextChar">
    <w:name w:val="Body Text Char"/>
    <w:basedOn w:val="DefaultParagraphFont"/>
    <w:link w:val="BodyText"/>
    <w:uiPriority w:val="1"/>
    <w:rsid w:val="002F223A"/>
    <w:rPr>
      <w:rFonts w:ascii="Dax-Regular" w:eastAsia="Dax-Regular" w:hAnsi="Dax-Regular" w:cs="Dax-Regular"/>
      <w:color w:val="000000"/>
      <w:sz w:val="18"/>
      <w:szCs w:val="18"/>
    </w:rPr>
  </w:style>
  <w:style w:type="paragraph" w:customStyle="1" w:styleId="ExhibitTitleBold">
    <w:name w:val="Exhibit Title Bold"/>
    <w:next w:val="Normal"/>
    <w:uiPriority w:val="99"/>
    <w:qFormat/>
    <w:rsid w:val="002F223A"/>
    <w:pPr>
      <w:tabs>
        <w:tab w:val="left" w:pos="2475"/>
      </w:tabs>
      <w:autoSpaceDE w:val="0"/>
      <w:autoSpaceDN w:val="0"/>
      <w:adjustRightInd w:val="0"/>
      <w:spacing w:before="120" w:after="40" w:line="240" w:lineRule="auto"/>
      <w:textAlignment w:val="center"/>
    </w:pPr>
    <w:rPr>
      <w:rFonts w:ascii="Dax-Bold" w:eastAsia="Times New Roman" w:hAnsi="Dax-Bold" w:cs="Dax-Regular"/>
      <w:color w:val="000000"/>
      <w:sz w:val="18"/>
      <w:szCs w:val="18"/>
      <w:lang w:val="en-GB"/>
    </w:rPr>
  </w:style>
  <w:style w:type="paragraph" w:customStyle="1" w:styleId="Source">
    <w:name w:val="Source"/>
    <w:next w:val="BodyText"/>
    <w:link w:val="SourceChar"/>
    <w:uiPriority w:val="99"/>
    <w:qFormat/>
    <w:rsid w:val="002F223A"/>
    <w:pPr>
      <w:autoSpaceDE w:val="0"/>
      <w:autoSpaceDN w:val="0"/>
      <w:adjustRightInd w:val="0"/>
      <w:spacing w:before="40" w:after="120" w:line="240" w:lineRule="auto"/>
      <w:textAlignment w:val="center"/>
    </w:pPr>
    <w:rPr>
      <w:rFonts w:ascii="Dax-Regular" w:eastAsia="Times New Roman" w:hAnsi="Dax-Regular" w:cs="Dax-Regular"/>
      <w:color w:val="000000"/>
      <w:sz w:val="16"/>
      <w:szCs w:val="16"/>
    </w:rPr>
  </w:style>
  <w:style w:type="character" w:customStyle="1" w:styleId="SourceChar">
    <w:name w:val="Source Char"/>
    <w:link w:val="Source"/>
    <w:uiPriority w:val="99"/>
    <w:rsid w:val="002F223A"/>
    <w:rPr>
      <w:rFonts w:ascii="Dax-Regular" w:eastAsia="Times New Roman" w:hAnsi="Dax-Regular" w:cs="Dax-Regular"/>
      <w:color w:val="000000"/>
      <w:sz w:val="16"/>
      <w:szCs w:val="16"/>
    </w:rPr>
  </w:style>
  <w:style w:type="paragraph" w:customStyle="1" w:styleId="Heading1forTopofPage">
    <w:name w:val="Heading 1 for Top of Page"/>
    <w:basedOn w:val="Heading1"/>
    <w:qFormat/>
    <w:rsid w:val="002F223A"/>
    <w:pPr>
      <w:spacing w:before="0" w:after="240"/>
    </w:pPr>
    <w:rPr>
      <w:rFonts w:ascii="Dax-Bold" w:eastAsia="Times New Roman" w:hAnsi="Dax-Bold" w:cs="Times New Roman"/>
      <w:b w:val="0"/>
      <w:color w:val="0079C2"/>
      <w:sz w:val="27"/>
      <w:szCs w:val="20"/>
      <w:lang w:eastAsia="ja-JP"/>
    </w:rPr>
  </w:style>
  <w:style w:type="character" w:customStyle="1" w:styleId="Heading1Char">
    <w:name w:val="Heading 1 Char"/>
    <w:basedOn w:val="DefaultParagraphFont"/>
    <w:link w:val="Heading1"/>
    <w:uiPriority w:val="9"/>
    <w:rsid w:val="002F223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223A"/>
    <w:rPr>
      <w:rFonts w:ascii="Tahoma" w:hAnsi="Tahoma" w:cs="Tahoma"/>
      <w:sz w:val="16"/>
      <w:szCs w:val="16"/>
    </w:rPr>
  </w:style>
  <w:style w:type="character" w:customStyle="1" w:styleId="BalloonTextChar">
    <w:name w:val="Balloon Text Char"/>
    <w:basedOn w:val="DefaultParagraphFont"/>
    <w:link w:val="BalloonText"/>
    <w:uiPriority w:val="99"/>
    <w:semiHidden/>
    <w:rsid w:val="002F223A"/>
    <w:rPr>
      <w:rFonts w:ascii="Tahoma" w:eastAsia="Times New Roman" w:hAnsi="Tahoma" w:cs="Tahoma"/>
      <w:sz w:val="16"/>
      <w:szCs w:val="16"/>
    </w:rPr>
  </w:style>
  <w:style w:type="paragraph" w:styleId="ListParagraph">
    <w:name w:val="List Paragraph"/>
    <w:basedOn w:val="Normal"/>
    <w:uiPriority w:val="34"/>
    <w:qFormat/>
    <w:rsid w:val="00F43532"/>
    <w:pPr>
      <w:ind w:left="720"/>
      <w:contextualSpacing/>
    </w:pPr>
  </w:style>
  <w:style w:type="paragraph" w:customStyle="1" w:styleId="CallOut">
    <w:name w:val="Call Out"/>
    <w:uiPriority w:val="99"/>
    <w:qFormat/>
    <w:rsid w:val="007B63B5"/>
    <w:pPr>
      <w:suppressAutoHyphens/>
      <w:spacing w:after="120" w:line="260" w:lineRule="exact"/>
    </w:pPr>
    <w:rPr>
      <w:rFonts w:ascii="Dax-Medium" w:eastAsia="Times New Roman" w:hAnsi="Dax-Medium" w:cs="Dax-Medium"/>
      <w:color w:val="0079C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Craig</dc:creator>
  <cp:lastModifiedBy>Putsey, Linda</cp:lastModifiedBy>
  <cp:revision>3</cp:revision>
  <dcterms:created xsi:type="dcterms:W3CDTF">2017-10-18T15:10:00Z</dcterms:created>
  <dcterms:modified xsi:type="dcterms:W3CDTF">2017-10-18T15:15:00Z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M_fb757ff055b04ef7b020c64e0b34397b~0">
    <vt:lpwstr>&lt;Data vendor="FactSet" application="PresLink" version="2013.1" XMLVersion="C591227E-C126-49DE-B816-0EB840665770" iXMLVersion="1"&gt;_x000d_
  &lt;Main FileType="2" FileUID="" FileName="EPS vs Consensus.xlsx" Path="\\nbnotores1.nesbittburns.ca\ResGold\GlobalPM\Sector </vt:lpwstr>
  </property>
  <property fmtid="{D5CDD505-2E9C-101B-9397-08002B2CF9AE}" pid="3" name="_DM_fb757ff055b04ef7b020c64e0b34397b~1">
    <vt:lpwstr>Reports\Quarter Previews\2017Q2" Landmark="Chart 2" LMFriendly="Chart 2 (Earnings vs. Consensus)" SheetSlideName="_bdm.592cfe9a66ab4d06a2ccbad194a429f3.edm" Address="Earnings vs. Consensus!Chart 2" AddrAdjusted="Earnings vs. Consensus!Chart 2" LastUpdate=</vt:lpwstr>
  </property>
  <property fmtid="{D5CDD505-2E9C-101B-9397-08002B2CF9AE}" pid="4" name="_DM_fb757ff055b04ef7b020c64e0b34397b~2">
    <vt:lpwstr>"2017.06.29:10.38.35" FileDesc="EPS vs Consensus.xlsx" Text="" Value="" Inst="0" SBR="False" SBC="False" DestType="" HeaderRows="0" /&gt;_x000d_
&lt;/Data&gt;</vt:lpwstr>
  </property>
  <property fmtid="{D5CDD505-2E9C-101B-9397-08002B2CF9AE}" pid="5" name="_DM_f98b319f4ef545b3876f3c31b873b6ff~0">
    <vt:lpwstr>&lt;Data vendor="FactSet" application="PresLink" version="2013.1" XMLVersion="C591227E-C126-49DE-B816-0EB840665770" iXMLVersion="1"&gt;_x000d_
  &lt;Main FileType="2" FileUID="" FileName="YTD Performance.xlsx" Path="\\nbnotores1.nesbittburns.ca\ResGold\GlobalPM\Sector R</vt:lpwstr>
  </property>
  <property fmtid="{D5CDD505-2E9C-101B-9397-08002B2CF9AE}" pid="6" name="_DM_f98b319f4ef545b3876f3c31b873b6ff~1">
    <vt:lpwstr>eports\Quarter Previews\2017Q2" Landmark="Chart 1" LMFriendly="Chart 1 (Performance)" SheetSlideName="_bdm.46b07d5f73af48cfab9fe62652edd4ff.edm" Address="Performance!Chart 1" AddrAdjusted="Performance!Chart 1" LastUpdate="2017.07.07:08.44.51" FileDesc="YT</vt:lpwstr>
  </property>
  <property fmtid="{D5CDD505-2E9C-101B-9397-08002B2CF9AE}" pid="7" name="_DM_f98b319f4ef545b3876f3c31b873b6ff~2">
    <vt:lpwstr>D Performance.xlsx" Text="" Value="" Inst="0" SBR="False" SBC="False" DestType="" HeaderRows="0" /&gt;_x000d_
&lt;/Data&gt;</vt:lpwstr>
  </property>
  <property fmtid="{D5CDD505-2E9C-101B-9397-08002B2CF9AE}" pid="8" name="_DM_8ba4fb06a92946d7a7ffaae9120ad700~0">
    <vt:lpwstr>&lt;Data vendor="FactSet" application="PresLink" version="2013.1" XMLVersion="C591227E-C126-49DE-B816-0EB840665770" iXMLVersion="1"&gt;_x000d_
  &lt;Main FileType="2" FileUID="" FileName="EPS vs Consensus.xlsx" Path="\\nbnotores1.nesbittburns.ca\ResGold\GlobalPM\Sector </vt:lpwstr>
  </property>
  <property fmtid="{D5CDD505-2E9C-101B-9397-08002B2CF9AE}" pid="9" name="_DM_8ba4fb06a92946d7a7ffaae9120ad700~1">
    <vt:lpwstr>Reports\Quarter Previews\2017Q2" Landmark="Chart 2" LMFriendly="Chart 2 (Earnings vs. Consensus)" SheetSlideName="_bdm.592cfe9a66ab4d06a2ccbad194a429f3.edm" Address="Earnings vs. Consensus!Chart 2" AddrAdjusted="Earnings vs. Consensus!Chart 2" LastUpdate=</vt:lpwstr>
  </property>
  <property fmtid="{D5CDD505-2E9C-101B-9397-08002B2CF9AE}" pid="10" name="_DM_8ba4fb06a92946d7a7ffaae9120ad700~2">
    <vt:lpwstr>"2017.06.29:10.38.35" FileDesc="EPS vs Consensus.xlsx" Text="" Value="" Inst="0" SBR="False" SBC="False" DestType="" HeaderRows="0" /&gt;_x000d_
&lt;/Data&gt;</vt:lpwstr>
  </property>
  <property fmtid="{D5CDD505-2E9C-101B-9397-08002B2CF9AE}" pid="11" name="_DM_f94f686fdb65495a861394c59ac13099~0">
    <vt:lpwstr>&lt;Data vendor="FactSet" application="PresLink" version="2013.1" XMLVersion="C591227E-C126-49DE-B816-0EB840665770" iXMLVersion="1"&gt;_x000d_
  &lt;Main FileType="2" FileUID="" FileName="EPS vs Consensus.xlsx" Path="\\nbnotores1.nesbittburns.ca\ResGold\GlobalPM\Sector </vt:lpwstr>
  </property>
  <property fmtid="{D5CDD505-2E9C-101B-9397-08002B2CF9AE}" pid="12" name="_DM_f94f686fdb65495a861394c59ac13099~1">
    <vt:lpwstr>Reports\Quarter Previews\2017Q2" Landmark="Chart 4" LMFriendly="Chart 4 (Earnings vs. Consensus)" SheetSlideName="_bdm.592cfe9a66ab4d06a2ccbad194a429f3.edm" Address="Earnings vs. Consensus!Chart 4" AddrAdjusted="Earnings vs. Consensus!Chart 4" LastUpdate=</vt:lpwstr>
  </property>
  <property fmtid="{D5CDD505-2E9C-101B-9397-08002B2CF9AE}" pid="13" name="_DM_f94f686fdb65495a861394c59ac13099~2">
    <vt:lpwstr>"2017.07.17:14.49.31" FileDesc="EPS vs Consensus.xlsx" Text="" Value="" Inst="0" SBR="False" SBC="False" DestType="" HeaderRows="0" /&gt;_x000d_
&lt;/Data&gt;</vt:lpwstr>
  </property>
  <property fmtid="{D5CDD505-2E9C-101B-9397-08002B2CF9AE}" pid="14" name="_DM_caac4bc9756f4ef28ad096ba694f98b0~0">
    <vt:lpwstr>&lt;Data vendor="FactSet" application="PresLink" version="2013.1" XMLVersion="C591227E-C126-49DE-B816-0EB840665770" iXMLVersion="1"&gt;_x000d_
  &lt;Main FileType="2" FileUID="" FileName="EPS vs Consensus.xlsx" Path="\\nbnotores1.nesbittburns.ca\ResGold\GlobalPM\Sector </vt:lpwstr>
  </property>
  <property fmtid="{D5CDD505-2E9C-101B-9397-08002B2CF9AE}" pid="15" name="_DM_caac4bc9756f4ef28ad096ba694f98b0~1">
    <vt:lpwstr>Reports\Quarter Previews\2017Q2" Landmark="Chart 5" LMFriendly="Chart 5 (Earnings vs. Consensus)" SheetSlideName="_bdm.592cfe9a66ab4d06a2ccbad194a429f3.edm" Address="Earnings vs. Consensus!Chart 5" AddrAdjusted="Earnings vs. Consensus!Chart 5" LastUpdate=</vt:lpwstr>
  </property>
  <property fmtid="{D5CDD505-2E9C-101B-9397-08002B2CF9AE}" pid="16" name="_DM_caac4bc9756f4ef28ad096ba694f98b0~2">
    <vt:lpwstr>"2017.07.17:14.49.42" FileDesc="EPS vs Consensus.xlsx" Text="" Value="" Inst="0" SBR="False" SBC="False" DestType="" HeaderRows="0" /&gt;_x000d_
&lt;/Data&gt;</vt:lpwstr>
  </property>
  <property fmtid="{D5CDD505-2E9C-101B-9397-08002B2CF9AE}" pid="17" name="_DM_8022f858f812463a87c182c242463f24~0">
    <vt:lpwstr>&lt;Data vendor="FactSet" application="PresLink" version="2013.1" XMLVersion="C591227E-C126-49DE-B816-0EB840665770" iXMLVersion="1"&gt;_x000d_
  &lt;Main FileType="2" FileUID="" FileName="YTD Performance.xlsx" Path="\\nbnotores1.nesbittburns.ca\ResGold\GlobalPM\Sector R</vt:lpwstr>
  </property>
  <property fmtid="{D5CDD505-2E9C-101B-9397-08002B2CF9AE}" pid="18" name="_DM_8022f858f812463a87c182c242463f24~1">
    <vt:lpwstr>eports\Quarter Previews\2017Q2" Landmark="Chart 1" LMFriendly="Chart 1 (Performance)" SheetSlideName="_bdm.46b07d5f73af48cfab9fe62652edd4ff.edm" Address="Performance!Chart 1" AddrAdjusted="Performance!Chart 1" LastUpdate="2017.07.17:14.52.54" FileDesc="YT</vt:lpwstr>
  </property>
  <property fmtid="{D5CDD505-2E9C-101B-9397-08002B2CF9AE}" pid="19" name="_DM_8022f858f812463a87c182c242463f24~2">
    <vt:lpwstr>D Performance.xlsx" Text="" Value="" Inst="0" SBR="False" SBC="False" DestType="" HeaderRows="0" /&gt;_x000d_
&lt;/Data&gt;</vt:lpwstr>
  </property>
  <property fmtid="{D5CDD505-2E9C-101B-9397-08002B2CF9AE}" pid="20" name="_DM_78ff29471d5448ac9cd6728be7bac2fa~0">
    <vt:lpwstr>&lt;Data vendor="FactSet" application="PresLink" version="2013.1" XMLVersion="C591227E-C126-49DE-B816-0EB840665770" iXMLVersion="1"&gt;_x000d_
  &lt;Main FileType="1" FileUID="" FileName="Aggregate FCF (live links).xlsx" Path="\\nbnotores1.nesbittburns.ca\ResGold\Global</vt:lpwstr>
  </property>
  <property fmtid="{D5CDD505-2E9C-101B-9397-08002B2CF9AE}" pid="21" name="_DM_78ff29471d5448ac9cd6728be7bac2fa~1">
    <vt:lpwstr>PM\Sector Graphs" Landmark="_bdm.7f56a786d55445d09c13453a82ae323c.edm" LMFriendly="Auto-generated range name" SheetSlideName="_bdm.17f163e4ab92485f99e540d326eb69ce.edm" Address="'Charts'!AT4:AY19" AddrAdjusted="'Charts'!AT4" LastUpdate="2017.07.17:15.00.5</vt:lpwstr>
  </property>
  <property fmtid="{D5CDD505-2E9C-101B-9397-08002B2CF9AE}" pid="22" name="_DM_78ff29471d5448ac9cd6728be7bac2fa~2">
    <vt:lpwstr>5" FileDesc="Aggregate FCF (live links).xlsx" Text="" Value="" Inst="0" SBR="False" SBC="False" DestType="" HeaderRows="0" /&gt;_x000d_
&lt;/Data&gt;</vt:lpwstr>
  </property>
  <property fmtid="{D5CDD505-2E9C-101B-9397-08002B2CF9AE}" pid="23" name="_DM_d0d181145fa84dc9a3b0abc2de8ed26c~0">
    <vt:lpwstr>&lt;Data vendor="FactSet" application="PresLink" version="2013.1" XMLVersion="C591227E-C126-49DE-B816-0EB840665770" iXMLVersion="1"&gt;_x000d_
  &lt;Main FileType="1" FileUID="" FileName="Aggregate FCF (live links).xlsx" Path="\\nbnotores1.nesbittburns.ca\ResGold\Global</vt:lpwstr>
  </property>
  <property fmtid="{D5CDD505-2E9C-101B-9397-08002B2CF9AE}" pid="24" name="_DM_d0d181145fa84dc9a3b0abc2de8ed26c~1">
    <vt:lpwstr>PM\Sector Graphs" Landmark="_bdm.7ce9775372bd405db1143056c4893401.edm" LMFriendly="Auto-generated range name" SheetSlideName="_bdm.17f163e4ab92485f99e540d326eb69ce.edm" Address="'Charts'!BA4:BF19" AddrAdjusted="'Charts'!BA4" LastUpdate="2017.07.17:15.01.0</vt:lpwstr>
  </property>
  <property fmtid="{D5CDD505-2E9C-101B-9397-08002B2CF9AE}" pid="25" name="_DM_d0d181145fa84dc9a3b0abc2de8ed26c~2">
    <vt:lpwstr>1" FileDesc="Aggregate FCF (live links).xlsx" Text="" Value="" Inst="0" SBR="False" SBC="False" DestType="" HeaderRows="0" /&gt;_x000d_
&lt;/Data&gt;</vt:lpwstr>
  </property>
  <property fmtid="{D5CDD505-2E9C-101B-9397-08002B2CF9AE}" pid="26" name="_DM_a4cc7683520340a9854e2b2da6013da8~0">
    <vt:lpwstr>&lt;Data vendor="FactSet" application="PresLink" version="2013.1" XMLVersion="C591227E-C126-49DE-B816-0EB840665770" iXMLVersion="1"&gt;_x000d_
  &lt;Main FileType="2" FileUID="" FileName="Historical Multiples &amp;amp; Implied GP.xlsx" Path="\\nbnotores1.nesbittburns.ca\Res</vt:lpwstr>
  </property>
  <property fmtid="{D5CDD505-2E9C-101B-9397-08002B2CF9AE}" pid="27" name="_DM_a4cc7683520340a9854e2b2da6013da8~1">
    <vt:lpwstr>Gold\GlobalPM\Sector Graphs" Landmark="Chart 2" LMFriendly="Chart 2 (Sector Multiples)" SheetSlideName="_bdm.1614d6c8c25c4e49a317d5551c59f1ad.edm" Address="Sector Multiples!Chart 2" AddrAdjusted="Sector Multiples!Chart 2" LastUpdate="2017.07.17:17.07.04" </vt:lpwstr>
  </property>
  <property fmtid="{D5CDD505-2E9C-101B-9397-08002B2CF9AE}" pid="28" name="_DM_a4cc7683520340a9854e2b2da6013da8~2">
    <vt:lpwstr>FileDesc="Historical Multiples &amp;amp; Implied GP.xlsx" Text="" Value="" Inst="0" SBR="False" SBC="False" DestType="" HeaderRows="0" /&gt;_x000d_
&lt;/Data&gt;</vt:lpwstr>
  </property>
  <property fmtid="{D5CDD505-2E9C-101B-9397-08002B2CF9AE}" pid="29" name="_DM_0ff191072e6843ad9384850bf1666adf~0">
    <vt:lpwstr>&lt;Data vendor="FactSet" application="PresLink" version="2013.1" XMLVersion="C591227E-C126-49DE-B816-0EB840665770" iXMLVersion="1"&gt;_x000d_
  &lt;Main FileType="2" FileUID="" FileName="Historical Multiples &amp;amp; Implied GP.xlsx" Path="\\nbnotores1.nesbittburns.ca\Res</vt:lpwstr>
  </property>
  <property fmtid="{D5CDD505-2E9C-101B-9397-08002B2CF9AE}" pid="30" name="_DM_0ff191072e6843ad9384850bf1666adf~1">
    <vt:lpwstr>Gold\GlobalPM\Sector Graphs" Landmark="Chart 1" LMFriendly="Chart 1 (Implied Gold Price)" SheetSlideName="_bdm.a3633aa7a5f247f590e4aebf5c82595f.edm" Address="Implied Gold Price!Chart 1" AddrAdjusted="Implied Gold Price!Chart 1" LastUpdate="2017.10.13:09.2</vt:lpwstr>
  </property>
  <property fmtid="{D5CDD505-2E9C-101B-9397-08002B2CF9AE}" pid="31" name="_DM_0ff191072e6843ad9384850bf1666adf~2">
    <vt:lpwstr>4.39" FileDesc="Historical Multiples &amp;amp; Implied GP.xlsx" Text="" Value="" Inst="0" SBR="False" SBC="False" DestType="" HeaderRows="0" /&gt;_x000d_
&lt;/Data&gt;</vt:lpwstr>
  </property>
  <property fmtid="{D5CDD505-2E9C-101B-9397-08002B2CF9AE}" pid="32" name="_DM_0db981d3cf574fbf8a88b118b13cf505~0">
    <vt:lpwstr>&lt;Data vendor="FactSet" application="PresLink" version="2013.1" XMLVersion="C591227E-C126-49DE-B816-0EB840665770" iXMLVersion="1"&gt;_x000d_
  &lt;Main FileType="2" FileUID="" FileName="Historical Multiples &amp;amp; Implied GP.xlsx" Path="\\nbnotores1.nesbittburns.ca\Res</vt:lpwstr>
  </property>
  <property fmtid="{D5CDD505-2E9C-101B-9397-08002B2CF9AE}" pid="33" name="_DM_0db981d3cf574fbf8a88b118b13cf505~1">
    <vt:lpwstr>Gold\GlobalPM\Sector Graphs" Landmark="Chart 2 (1)" LMFriendly="Chart 2 (1) (Sector Multiples)" SheetSlideName="_bdm.1614d6c8c25c4e49a317d5551c59f1ad.edm" Address="Sector Multiples!Chart 2 (1)" AddrAdjusted="Sector Multiples!Chart 2 (1)" LastUpdate="2017.</vt:lpwstr>
  </property>
  <property fmtid="{D5CDD505-2E9C-101B-9397-08002B2CF9AE}" pid="34" name="_DM_0db981d3cf574fbf8a88b118b13cf505~2">
    <vt:lpwstr>10.13:09.24.49" FileDesc="Historical Multiples &amp;amp; Implied GP.xlsx" Text="" Value="" Inst="0" SBR="False" SBC="False" DestType="" HeaderRows="0" /&gt;_x000d_
&lt;/Data&gt;</vt:lpwstr>
  </property>
  <property fmtid="{D5CDD505-2E9C-101B-9397-08002B2CF9AE}" pid="35" name="_DM_96d962fac75946d68919f6685b25418a~0">
    <vt:lpwstr>&lt;Data vendor="FactSet" application="PresLink" version="2013.1" XMLVersion="C591227E-C126-49DE-B816-0EB840665770" iXMLVersion="1"&gt;_x000d_
  &lt;Main FileType="2" FileUID="" FileName="EPS vs Consensus (Q3).xlsx" Path="\\nbnotores1.nesbittburns.ca\ResGold\GlobalPM\Se</vt:lpwstr>
  </property>
  <property fmtid="{D5CDD505-2E9C-101B-9397-08002B2CF9AE}" pid="36" name="_DM_96d962fac75946d68919f6685b25418a~1">
    <vt:lpwstr>ctor Reports\Quarter Previews\2017Q3" Landmark="Chart 5" LMFriendly="Chart 5 (Earnings vs. Consensus)" SheetSlideName="_bdm.592cfe9a66ab4d06a2ccbad194a429f3.edm" Address="Earnings vs. Consensus!Chart 5" AddrAdjusted="Earnings vs. Consensus!Chart 5" LastUp</vt:lpwstr>
  </property>
  <property fmtid="{D5CDD505-2E9C-101B-9397-08002B2CF9AE}" pid="37" name="_DM_96d962fac75946d68919f6685b25418a~2">
    <vt:lpwstr>date="2017.10.13:09.25.55" FileDesc="EPS vs Consensus (Q3).xlsx" Text="" Value="" Inst="0" SBR="False" SBC="False" DestType="" HeaderRows="0" /&gt;_x000d_
&lt;/Data&gt;</vt:lpwstr>
  </property>
  <property fmtid="{D5CDD505-2E9C-101B-9397-08002B2CF9AE}" pid="38" name="_DM_654017a6451b4e6b8dea0a02881bdedf~0">
    <vt:lpwstr>&lt;Data vendor="FactSet" application="PresLink" version="2013.1" XMLVersion="C591227E-C126-49DE-B816-0EB840665770" iXMLVersion="1"&gt;_x000d_
  &lt;Main FileType="2" FileUID="" FileName="YTD Performance (Q3).xlsx" Path="\\nbnotores1.nesbittburns.ca\ResGold\GlobalPM\Sec</vt:lpwstr>
  </property>
  <property fmtid="{D5CDD505-2E9C-101B-9397-08002B2CF9AE}" pid="39" name="_DM_654017a6451b4e6b8dea0a02881bdedf~1">
    <vt:lpwstr>tor Reports\Quarter Previews\2017Q3" Landmark="Chart 3" LMFriendly="Chart 3 (Performance)" SheetSlideName="_bdm.46b07d5f73af48cfab9fe62652edd4ff.edm" Address="Performance!Chart 3" AddrAdjusted="Performance!Chart 3" LastUpdate="2017.10.13:09.27.04" FileDes</vt:lpwstr>
  </property>
  <property fmtid="{D5CDD505-2E9C-101B-9397-08002B2CF9AE}" pid="40" name="_DM_654017a6451b4e6b8dea0a02881bdedf~2">
    <vt:lpwstr>c="YTD Performance (Q3).xlsx" Text="" Value="" Inst="0" SBR="False" SBC="False" DestType="" HeaderRows="0" /&gt;_x000d_
&lt;/Data&gt;</vt:lpwstr>
  </property>
  <property fmtid="{D5CDD505-2E9C-101B-9397-08002B2CF9AE}" pid="41" name="_DM_c14f7702c67d4e5c8ed815f9df419103~0">
    <vt:lpwstr>&lt;Data vendor="FactSet" application="PresLink" version="2013.1" XMLVersion="C591227E-C126-49DE-B816-0EB840665770" iXMLVersion="1"&gt;_x000d_
  &lt;Main FileType="2" FileUID="" FileName="YTD Performance (Q3).xlsx" Path="\\nbnotores1.nesbittburns.ca\ResGold\GlobalPM\Sec</vt:lpwstr>
  </property>
  <property fmtid="{D5CDD505-2E9C-101B-9397-08002B2CF9AE}" pid="42" name="_DM_c14f7702c67d4e5c8ed815f9df419103~1">
    <vt:lpwstr>tor Reports\Quarter Previews\2017Q3" Landmark="Chart 3" LMFriendly="Chart 3 (Performance)" SheetSlideName="_bdm.46b07d5f73af48cfab9fe62652edd4ff.edm" Address="Performance!Chart 3" AddrAdjusted="Performance!Chart 3" LastUpdate="2017.10.13:09.34.29" FileDes</vt:lpwstr>
  </property>
  <property fmtid="{D5CDD505-2E9C-101B-9397-08002B2CF9AE}" pid="43" name="_DM_c14f7702c67d4e5c8ed815f9df419103~2">
    <vt:lpwstr>c="YTD Performance (Q3).xlsx" Text="" Value="" Inst="0" SBR="False" SBC="False" DestType="" HeaderRows="0" /&gt;_x000d_
&lt;/Data&gt;</vt:lpwstr>
  </property>
  <property fmtid="{D5CDD505-2E9C-101B-9397-08002B2CF9AE}" pid="44" name="_DM_906764fddeb34b42a8f4f16f9e13ebb9~0">
    <vt:lpwstr>&lt;Data vendor="FactSet" application="PresLink" version="2013.1" XMLVersion="C591227E-C126-49DE-B816-0EB840665770" iXMLVersion="1"&gt;_x000d_
  &lt;Main FileType="1" FileUID="" FileName="Reporting Calendar &amp;amp; Earnings Preview.xlsx" Path="\\nbnotores1.nesbittburns.ca</vt:lpwstr>
  </property>
  <property fmtid="{D5CDD505-2E9C-101B-9397-08002B2CF9AE}" pid="45" name="_DM_906764fddeb34b42a8f4f16f9e13ebb9~1">
    <vt:lpwstr>\ResGold\GlobalPM\Sector Reports\Quarter Previews" Landmark="_bdm.b858ca9018ba40c69c3425a0c961240e.edm" LMFriendly="Auto-generated range name" SheetSlideName="_bdm.cb886af89f4e47a6900571bb1c05748d.edm" Address="'Earnings Preview'!B2:M59" AddrAdjusted="'Ea</vt:lpwstr>
  </property>
  <property fmtid="{D5CDD505-2E9C-101B-9397-08002B2CF9AE}" pid="46" name="_DM_906764fddeb34b42a8f4f16f9e13ebb9~2">
    <vt:lpwstr>rnings Preview'!B2:M2" LastUpdate="2017.10.17:11.57.14" FileDesc="Reporting Calendar &amp;amp; Earnings Preview.xlsx" Text="" Value="" Inst="0" SBR="False" SBC="False" DestType="" HeaderRows="0" /&gt;_x000d_
&lt;/Data&gt;</vt:lpwstr>
  </property>
  <property fmtid="{D5CDD505-2E9C-101B-9397-08002B2CF9AE}" pid="47" name="_DM_b2f6aedbb24941b396da3f7240eab7d4~0">
    <vt:lpwstr>&lt;Data vendor="FactSet" application="PresLink" version="2013.1" XMLVersion="C591227E-C126-49DE-B816-0EB840665770" iXMLVersion="1"&gt;_x000d_
  &lt;Main FileType="1" FileUID="" FileName="Reporting Calendar &amp;amp; Earnings Preview.xlsx" Path="\\nbnotores1.nesbittburns.ca</vt:lpwstr>
  </property>
  <property fmtid="{D5CDD505-2E9C-101B-9397-08002B2CF9AE}" pid="48" name="_DM_b2f6aedbb24941b396da3f7240eab7d4~1">
    <vt:lpwstr>\ResGold\GlobalPM\Sector Reports\Quarter Previews" Landmark="_bdm.2253bdc923dc41c7bb4194898dce1664.edm" LMFriendly="Auto-generated range name" SheetSlideName="_bdm.137ca077e3814a4f85093108d864ae49.edm" Address="'Reporting Calendar'!B2:K54" AddrAdjusted="'</vt:lpwstr>
  </property>
  <property fmtid="{D5CDD505-2E9C-101B-9397-08002B2CF9AE}" pid="49" name="_DM_b2f6aedbb24941b396da3f7240eab7d4~2">
    <vt:lpwstr>Reporting Calendar'!B2:K2" LastUpdate="2017.10.17:11.57.34" FileDesc="Reporting Calendar &amp;amp; Earnings Preview.xlsx" Text="" Value="" Inst="0" SBR="False" SBC="False" DestType="" HeaderRows="0" /&gt;_x000d_
&lt;/Data&gt;</vt:lpwstr>
  </property>
  <property fmtid="{D5CDD505-2E9C-101B-9397-08002B2CF9AE}" pid="50" name="_DM_57e51ca5e0544da3b6a596e862addf0e~0">
    <vt:lpwstr>&lt;Data vendor="FactSet" application="PresLink" version="2013.1" XMLVersion="C591227E-C126-49DE-B816-0EB840665770" iXMLVersion="1"&gt;_x000d_
  &lt;Main FileType="2" FileUID="" FileName="Reporting Calendar &amp;amp; Earnings Preview.xlsx" Path="\\nbnotores1.nesbittburns.ca</vt:lpwstr>
  </property>
  <property fmtid="{D5CDD505-2E9C-101B-9397-08002B2CF9AE}" pid="51" name="_DM_57e51ca5e0544da3b6a596e862addf0e~1">
    <vt:lpwstr>\ResGold\GlobalPM\Sector Reports\Quarter Previews" Landmark="Chart 1" LMFriendly="Chart 1 (Earnings vs. Consensus)" SheetSlideName="_bdm.592cfe9a66ab4d06a2ccbad194a429f3.edm" Address="Earnings vs. Consensus!Chart 1" AddrAdjusted="Earnings vs. Consensus!Ch</vt:lpwstr>
  </property>
  <property fmtid="{D5CDD505-2E9C-101B-9397-08002B2CF9AE}" pid="52" name="_DM_57e51ca5e0544da3b6a596e862addf0e~2">
    <vt:lpwstr>art 1" LastUpdate="2017.10.18:08.09.46" FileDesc="Reporting Calendar &amp;amp; Earnings Preview.xlsx" Text="" Value="" Inst="0" SBR="False" SBC="False" DestType="" HeaderRows="0" /&gt;_x000d_
&lt;/Data&gt;</vt:lpwstr>
  </property>
  <property fmtid="{D5CDD505-2E9C-101B-9397-08002B2CF9AE}" pid="53" name="_DM_b3779427c3cd4089a1c3b66b053d52e1~0">
    <vt:lpwstr>&lt;Data vendor="FactSet" application="PresLink" version="2013.1" XMLVersion="C591227E-C126-49DE-B816-0EB840665770" iXMLVersion="1"&gt;_x000d_
  &lt;Main FileType="2" FileUID="" FileName="EPS vs Consensus (Q3).xlsx" Path="\\nbnotores1.nesbittburns.ca\ResGold\GlobalPM\Se</vt:lpwstr>
  </property>
  <property fmtid="{D5CDD505-2E9C-101B-9397-08002B2CF9AE}" pid="54" name="_DM_b3779427c3cd4089a1c3b66b053d52e1~1">
    <vt:lpwstr>ctor Reports\Quarter Previews\2017Q3" Landmark="Chart 3" LMFriendly="Chart 3 (Earnings vs. Consensus)" SheetSlideName="_bdm.592cfe9a66ab4d06a2ccbad194a429f3.edm" Address="Earnings vs. Consensus!Chart 3" AddrAdjusted="Earnings vs. Consensus!Chart 3" LastUp</vt:lpwstr>
  </property>
  <property fmtid="{D5CDD505-2E9C-101B-9397-08002B2CF9AE}" pid="55" name="_DM_b3779427c3cd4089a1c3b66b053d52e1~2">
    <vt:lpwstr>date="2017.10.18:08.09.56" FileDesc="EPS vs Consensus (Q3).xlsx" Text="" Value="" Inst="0" SBR="False" SBC="False" DestType="" HeaderRows="0" /&gt;_x000d_
&lt;/Data&gt;</vt:lpwstr>
  </property>
  <property fmtid="{D5CDD505-2E9C-101B-9397-08002B2CF9AE}" pid="56" name="_DM_ebef1407ac904af195a1d013639b7700~0">
    <vt:lpwstr>&lt;Data vendor="FactSet" application="PresLink" version="2013.1" XMLVersion="C591227E-C126-49DE-B816-0EB840665770" iXMLVersion="1"&gt;_x000d_
  &lt;Main FileType="1" FileUID="" FileName="Reporting Calendar &amp;amp; Earnings Preview.xlsx" Path="\\nbnotores1.nesbittburns.ca</vt:lpwstr>
  </property>
  <property fmtid="{D5CDD505-2E9C-101B-9397-08002B2CF9AE}" pid="57" name="_DM_ebef1407ac904af195a1d013639b7700~1">
    <vt:lpwstr>\ResGold\GlobalPM\Sector Reports\Quarter Previews" Landmark="_bdm.93d62194b11e4c53965e0bbf2a1c7438.edm" LMFriendly="Auto-generated range name" SheetSlideName="_bdm.cb886af89f4e47a6900571bb1c05748d.edm" Address="'Earnings Preview'!B2:M55" AddrAdjusted="'Ea</vt:lpwstr>
  </property>
  <property fmtid="{D5CDD505-2E9C-101B-9397-08002B2CF9AE}" pid="58" name="_DM_ebef1407ac904af195a1d013639b7700~2">
    <vt:lpwstr>rnings Preview'!B2:M2" LastUpdate="2017.10.18:08.10.06" FileDesc="Reporting Calendar &amp;amp; Earnings Preview.xlsx" Text="" Value="" Inst="0" SBR="False" SBC="False" DestType="" HeaderRows="0" /&gt;_x000d_
&lt;/Data&gt;</vt:lpwstr>
  </property>
  <property fmtid="{D5CDD505-2E9C-101B-9397-08002B2CF9AE}" pid="59" name="_DM_5f532ec53dc74f9e965fce5e794c29b8~0">
    <vt:lpwstr>&lt;Data vendor="FactSet" application="PresLink" version="2013.1" XMLVersion="C591227E-C126-49DE-B816-0EB840665770" iXMLVersion="1"&gt;_x000d_
  &lt;Main FileType="1" FileUID="" FileName="Reporting Calendar &amp;amp; Earnings Preview.xlsx" Path="\\nbnotores1.nesbittburns.ca</vt:lpwstr>
  </property>
  <property fmtid="{D5CDD505-2E9C-101B-9397-08002B2CF9AE}" pid="60" name="_DM_5f532ec53dc74f9e965fce5e794c29b8~1">
    <vt:lpwstr>\ResGold\GlobalPM\Sector Reports\Quarter Previews" Landmark="_bdm.8f77ab81db7b45039d81b4ecfe60278a.edm" LMFriendly="Auto-generated range name" SheetSlideName="_bdm.cb886af89f4e47a6900571bb1c05748d.edm" Address="'Earnings Preview'!B2:M50" AddrAdjusted="'Ea</vt:lpwstr>
  </property>
  <property fmtid="{D5CDD505-2E9C-101B-9397-08002B2CF9AE}" pid="61" name="_DM_5f532ec53dc74f9e965fce5e794c29b8~2">
    <vt:lpwstr>rnings Preview'!B2:M2" LastUpdate="2017.10.18:08.32.33" FileDesc="Reporting Calendar &amp;amp; Earnings Preview.xlsx" Text="" Value="" Inst="0" SBR="False" SBC="False" DestType="" HeaderRows="0" /&gt;_x000d_
&lt;/Data&gt;</vt:lpwstr>
  </property>
  <property fmtid="{D5CDD505-2E9C-101B-9397-08002B2CF9AE}" pid="62" name="_DM_f28cc1386c644feea2b3db0b2bce06b1~0">
    <vt:lpwstr>&lt;Data vendor="FactSet" application="PresLink" version="2013.1" XMLVersion="C591227E-C126-49DE-B816-0EB840665770" iXMLVersion="1"&gt;_x000d_
  &lt;Main FileType="1" FileUID="" FileName="Reporting Calendar &amp;amp; Earnings Preview.xlsx" Path="\\nbnotores1.nesbittburns.ca</vt:lpwstr>
  </property>
  <property fmtid="{D5CDD505-2E9C-101B-9397-08002B2CF9AE}" pid="63" name="_DM_f28cc1386c644feea2b3db0b2bce06b1~1">
    <vt:lpwstr>\ResGold\GlobalPM\Sector Reports\Quarter Previews" Landmark="_bdm.b4bb5df4a1404858b68df8eba3c88111.edm" LMFriendly="Auto-generated range name" SheetSlideName="_bdm.137ca077e3814a4f85093108d864ae49.edm" Address="'Reporting Calendar'!B2:K48" AddrAdjusted="'</vt:lpwstr>
  </property>
  <property fmtid="{D5CDD505-2E9C-101B-9397-08002B2CF9AE}" pid="64" name="_DM_f28cc1386c644feea2b3db0b2bce06b1~2">
    <vt:lpwstr>Reporting Calendar'!B2:K2" LastUpdate="2017.10.18:08.32.41" FileDesc="Reporting Calendar &amp;amp; Earnings Preview.xlsx" Text="" Value="" Inst="0" SBR="False" SBC="False" DestType="" HeaderRows="0" /&gt;_x000d_
&lt;/Data&gt;</vt:lpwstr>
  </property>
  <property fmtid="{D5CDD505-2E9C-101B-9397-08002B2CF9AE}" pid="65" name="_DM_09be7cb950b5402288f3844b96d2575d~0">
    <vt:lpwstr>&lt;Data vendor="FactSet" application="PresLink" version="2013.1" XMLVersion="C591227E-C126-49DE-B816-0EB840665770" iXMLVersion="1"&gt;_x000d_
  &lt;Main FileType="2" FileUID="" FileName="EPS vs Consensus (Q3).xlsx" Path="\\nbnotores1.nesbittburns.ca\ResGold\GlobalPM\Se</vt:lpwstr>
  </property>
  <property fmtid="{D5CDD505-2E9C-101B-9397-08002B2CF9AE}" pid="66" name="_DM_09be7cb950b5402288f3844b96d2575d~1">
    <vt:lpwstr>ctor Reports\Quarter Previews\2017Q3" Landmark="Chart 5" LMFriendly="Chart 5 (Earnings vs. Consensus)" SheetSlideName="_bdm.592cfe9a66ab4d06a2ccbad194a429f3.edm" Address="Earnings vs. Consensus!Chart 5" AddrAdjusted="Earnings vs. Consensus!Chart 5" LastUp</vt:lpwstr>
  </property>
  <property fmtid="{D5CDD505-2E9C-101B-9397-08002B2CF9AE}" pid="67" name="_DM_09be7cb950b5402288f3844b96d2575d~2">
    <vt:lpwstr>date="2017.10.18:08.34.22" FileDesc="EPS vs Consensus (Q3).xlsx" Text="" Value="" Inst="0" SBR="False" SBC="False" DestType="" HeaderRows="0" /&gt;_x000d_
&lt;/Data&gt;</vt:lpwstr>
  </property>
</Properties>
</file>