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75569"/>
                <w:sz w:val="17"/>
              </w:rPr>
              <w:t>SYNTHETIC EVALUATION FIXTURE - NO REAL PERSONAL DATA</w:t>
            </w:r>
          </w:p>
        </w:tc>
      </w:tr>
    </w:tbl>
    <w:p>
      <w:pPr>
        <w:spacing w:after="0"/>
      </w:pPr>
    </w:p>
    <w:p>
      <w:pPr>
        <w:pStyle w:val="Title"/>
        <w:spacing w:after="160"/>
        <w:jc w:val="left"/>
      </w:pPr>
      <w:r>
        <w:rPr>
          <w:rFonts w:ascii="Arial" w:hAnsi="Arial"/>
          <w:b/>
          <w:color w:val="0F172A"/>
          <w:sz w:val="48"/>
        </w:rPr>
        <w:t>Employability Skills Development Guide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This is an independent synthetic career-guidance document created for chatbot evaluation. It is not a government policy, official labour-market report, or accredited qualification framework.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Purpose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The guide outlines five general skill areas that can support career preparation and workplace readiness. The skills are presented as development areas for reflection and practice, not as a prediction of employment.</w:t>
      </w:r>
    </w:p>
    <w:p>
      <w:pPr>
        <w:pStyle w:val="Heading2"/>
        <w:spacing w:before="140" w:after="60"/>
      </w:pPr>
      <w:r>
        <w:rPr>
          <w:rFonts w:ascii="Arial" w:hAnsi="Arial"/>
          <w:b/>
          <w:color w:val="475569"/>
          <w:sz w:val="23"/>
        </w:rPr>
        <w:t>Communication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Express ideas clearly in writing and conversation, listen actively, and adapt messages to the audience.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Practice giving a one-minute explanation of a project or task.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Ask for feedback on clarity in written messages and presentations.</w:t>
      </w:r>
    </w:p>
    <w:p>
      <w:pPr>
        <w:pStyle w:val="Heading2"/>
        <w:spacing w:before="140" w:after="60"/>
      </w:pPr>
      <w:r>
        <w:rPr>
          <w:rFonts w:ascii="Arial" w:hAnsi="Arial"/>
          <w:b/>
          <w:color w:val="475569"/>
          <w:sz w:val="23"/>
        </w:rPr>
        <w:t>Digital Literacy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Use common digital tools responsibly and confidently for communication, information handling, and routine work tasks.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Practice with spreadsheets, document tools, shared drives, and online collaboration platforms.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Learn basic data privacy and account-security habits.</w:t>
      </w:r>
    </w:p>
    <w:p>
      <w:pPr>
        <w:pStyle w:val="Heading2"/>
        <w:spacing w:before="140" w:after="60"/>
      </w:pPr>
      <w:r>
        <w:rPr>
          <w:rFonts w:ascii="Arial" w:hAnsi="Arial"/>
          <w:b/>
          <w:color w:val="475569"/>
          <w:sz w:val="23"/>
        </w:rPr>
        <w:t>Analytical Thinking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Break problems into smaller parts, compare evidence, identify patterns, and justify conclusions.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Work through small case problems using available data.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Explain why a conclusion follows from the evidence used.</w:t>
      </w:r>
    </w:p>
    <w:p>
      <w:pPr>
        <w:pStyle w:val="Heading2"/>
        <w:spacing w:before="140" w:after="60"/>
      </w:pPr>
      <w:r>
        <w:rPr>
          <w:rFonts w:ascii="Arial" w:hAnsi="Arial"/>
          <w:b/>
          <w:color w:val="475569"/>
          <w:sz w:val="23"/>
        </w:rPr>
        <w:t>Teamwork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Contribute reliably to shared tasks, coordinate responsibilities, and communicate respectfully with others.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Take a defined role in a group project or volunteer activity.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Document agreed responsibilities and follow up on progress.</w:t>
      </w:r>
    </w:p>
    <w:p>
      <w:pPr>
        <w:pStyle w:val="Heading2"/>
        <w:spacing w:before="140" w:after="60"/>
      </w:pPr>
      <w:r>
        <w:rPr>
          <w:rFonts w:ascii="Arial" w:hAnsi="Arial"/>
          <w:b/>
          <w:color w:val="475569"/>
          <w:sz w:val="23"/>
        </w:rPr>
        <w:t>Continuous Learning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Identify knowledge gaps, seek appropriate learning resources, and reflect on progress over time.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Set one short monthly learning goal.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Keep a simple record of what was learned and how it was applied.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Using This Guide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A reader can select one or two development areas at a time, choose a practical activity, and review progress after several weeks. The guide does not state that every reader lacks these skills, and it does not guarantee an employment outcome.</w:t>
      </w:r>
    </w:p>
    <w:sectPr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For controlled chatbot evaluation only. This document is fictional and sanitized.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755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