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46B32CCD" w:rsidR="00937EA2" w:rsidRPr="0049029D" w:rsidRDefault="00D3625F" w:rsidP="0049029D">
      <w:pPr>
        <w:pStyle w:val="MDPI12title"/>
        <w:rPr>
          <w:i/>
        </w:rPr>
      </w:pPr>
      <w:r w:rsidRPr="00D3625F">
        <w:t>Investigating the fall of the Silicon Valley Bank</w:t>
      </w:r>
      <w:r w:rsidRPr="00D3625F">
        <w:rPr>
          <w:i/>
          <w:iCs/>
        </w:rPr>
        <w:t xml:space="preserve"> </w:t>
      </w:r>
      <w:r w:rsidRPr="0035055A">
        <w:rPr>
          <w:i/>
          <w:iCs/>
        </w:rPr>
        <w:t>vis-à-vis</w:t>
      </w:r>
      <w:r>
        <w:t xml:space="preserve"> Benford’s Law</w:t>
      </w:r>
    </w:p>
    <w:p w14:paraId="3FB5EC0C" w14:textId="2BA6BD75"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031ACF">
        <w:t xml:space="preserve"> </w:t>
      </w:r>
      <w:r w:rsidR="00D3625F">
        <w:t xml:space="preserve">and </w:t>
      </w:r>
      <w:r w:rsidR="003B00FE" w:rsidRPr="003B00FE">
        <w:t>Lakshmanan Kumarasankaralingam</w:t>
      </w:r>
      <w:r w:rsidR="00526FED">
        <w:t xml:space="preserve"> </w:t>
      </w:r>
      <w:r w:rsidR="00D3625F">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C59A40F"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Calcutta</w:t>
      </w:r>
      <w:r w:rsidR="003B00FE">
        <w:t xml:space="preserve"> 712201</w:t>
      </w:r>
      <w:r w:rsidR="00F07995">
        <w:t xml:space="preserve">, </w:t>
      </w:r>
      <w:r w:rsidR="00370DC6" w:rsidRPr="0049029D">
        <w:t>India</w:t>
      </w:r>
      <w:r w:rsidR="004C564D">
        <w:t xml:space="preserve">, </w:t>
      </w:r>
      <w:r w:rsidR="004C564D" w:rsidRPr="0049029D">
        <w:t xml:space="preserve">Email- </w:t>
      </w:r>
      <w:hyperlink r:id="rId11"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24B2CBD8"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rofessor, Department of Economics, Noakhali Science and Technology University, Noakhali, Bangladesh</w:t>
      </w:r>
      <w:r w:rsidR="003B00FE">
        <w:t xml:space="preserve"> </w:t>
      </w:r>
      <w:r w:rsidR="001A2940" w:rsidRPr="0049029D">
        <w:t xml:space="preserve">3814; Email- </w:t>
      </w:r>
      <w:hyperlink r:id="rId12" w:history="1">
        <w:r w:rsidR="004C564D" w:rsidRPr="00071933">
          <w:rPr>
            <w:rStyle w:val="Hyperlink"/>
          </w:rPr>
          <w:t>litonvoumik@gmail.com</w:t>
        </w:r>
      </w:hyperlink>
      <w:r w:rsidR="001A2940" w:rsidRPr="0049029D">
        <w:t>; ORCID: 0000-0002-9612-7350</w:t>
      </w:r>
    </w:p>
    <w:p w14:paraId="52BBAAB2" w14:textId="599A910E" w:rsidR="004C564D" w:rsidRPr="0049029D" w:rsidRDefault="00D3625F" w:rsidP="00EF7E03">
      <w:pPr>
        <w:pStyle w:val="MDPI16affiliation"/>
        <w:ind w:left="2608" w:firstLine="0"/>
        <w:jc w:val="both"/>
      </w:pPr>
      <w:r>
        <w:rPr>
          <w:vertAlign w:val="superscript"/>
        </w:rPr>
        <w:t>3</w:t>
      </w:r>
      <w:r w:rsidR="004C564D" w:rsidRPr="0049029D">
        <w:t xml:space="preserve"> </w:t>
      </w:r>
      <w:r w:rsidR="00526FED" w:rsidRPr="00526FED">
        <w:t>Professor, Department of Mathematics, Kuwait American School of Education, Salmiya</w:t>
      </w:r>
      <w:r w:rsidR="003B00FE" w:rsidRPr="003B00FE">
        <w:t xml:space="preserve"> 22062</w:t>
      </w:r>
      <w:r w:rsidR="00526FED" w:rsidRPr="00526FED">
        <w:t>, Kuwait</w:t>
      </w:r>
      <w:r w:rsidR="004C564D">
        <w:t>; Email-</w:t>
      </w:r>
      <w:r w:rsidR="00526FED">
        <w:t xml:space="preserve"> </w:t>
      </w:r>
      <w:hyperlink r:id="rId13" w:history="1">
        <w:r w:rsidR="00526FED" w:rsidRPr="00A579D2">
          <w:rPr>
            <w:rStyle w:val="Hyperlink"/>
          </w:rPr>
          <w:t>coprime65@gmail.com</w:t>
        </w:r>
      </w:hyperlink>
      <w:r w:rsidR="004C564D">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5F5741E5"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00DA5A58">
              <w:rPr>
                <w:i/>
              </w:rPr>
              <w:t>Journal Name</w:t>
            </w:r>
            <w:r w:rsidRPr="0049029D">
              <w:rPr>
                <w:i/>
              </w:rPr>
              <w:t xml:space="preserve">. </w:t>
            </w:r>
            <w:r w:rsidRPr="0049029D">
              <w:rPr>
                <w:b/>
              </w:rPr>
              <w:t>202</w:t>
            </w:r>
            <w:r w:rsidR="00BE63D9">
              <w:rPr>
                <w:b/>
              </w:rPr>
              <w:t>3</w:t>
            </w:r>
            <w:r w:rsidRPr="0049029D">
              <w:t xml:space="preserve">, </w:t>
            </w:r>
            <w:r w:rsidR="00DA5A58" w:rsidRPr="00DA5A58">
              <w:rPr>
                <w:iCs/>
              </w:rPr>
              <w:t>x</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Publisher’s Note: MDPI stays neutral with regard to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796A1AF9" w14:textId="6CB175CD" w:rsidR="004C564D" w:rsidRPr="0049029D" w:rsidRDefault="001A3B56" w:rsidP="0049029D">
      <w:pPr>
        <w:pStyle w:val="MDPI16affiliation"/>
      </w:pPr>
      <w:r w:rsidRPr="0049029D">
        <w:rPr>
          <w:b/>
        </w:rPr>
        <w:t>*</w:t>
      </w:r>
      <w:r w:rsidRPr="0049029D">
        <w:tab/>
        <w:t xml:space="preserve">Correspondence: </w:t>
      </w:r>
      <w:hyperlink r:id="rId15"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6D36CA53" w:rsidR="00937EA2" w:rsidRPr="0049029D" w:rsidRDefault="00937EA2" w:rsidP="0049029D">
      <w:pPr>
        <w:pStyle w:val="MDPI17abstract"/>
      </w:pPr>
      <w:r w:rsidRPr="0049029D">
        <w:rPr>
          <w:b/>
          <w:bCs/>
        </w:rPr>
        <w:t>Abstract:</w:t>
      </w:r>
      <w:r w:rsidRPr="0049029D">
        <w:rPr>
          <w:b/>
        </w:rPr>
        <w:t xml:space="preserve"> </w:t>
      </w:r>
      <w:r w:rsidR="00D3625F" w:rsidRPr="00D3625F">
        <w:t>Data is produced every instant in the modern era of technological breakthroughs we live in today. In actuality, data is the lifeblood of today's world; whether it's Google or Meta, everyone depends on data to survive. There are several cases where data is altered to encrypt reliable details.</w:t>
      </w:r>
      <w:r w:rsidR="00D3625F">
        <w:t xml:space="preserve"> </w:t>
      </w:r>
      <w:r w:rsidR="002C3ECA">
        <w:t xml:space="preserve">Recently, in </w:t>
      </w:r>
      <w:r w:rsidR="00D3625F">
        <w:t xml:space="preserve">the March of </w:t>
      </w:r>
      <w:r w:rsidR="002C3ECA">
        <w:t xml:space="preserve">2023, </w:t>
      </w:r>
      <w:r w:rsidR="00D3625F">
        <w:t>Silicon Valley Bank collapsed following u</w:t>
      </w:r>
      <w:r w:rsidR="00D3625F" w:rsidRPr="00D3625F">
        <w:t>nrest prompted by increasing rates</w:t>
      </w:r>
      <w:r w:rsidR="00E460C6">
        <w:t xml:space="preserve">. </w:t>
      </w:r>
      <w:r w:rsidR="00177630" w:rsidRPr="00177630">
        <w:t>Silicon Valley Bank</w:t>
      </w:r>
      <w:r w:rsidR="00E460C6" w:rsidRPr="00E460C6">
        <w:t xml:space="preserve"> ran out of money as entrepreneurial investors pulled investments to maintain their businesses afloat in a frigid backdrop for IPOs as well as individual financing. The bank's collapse was really the biggest since the financial meltdown of 2008 and the second-largest commercial catastrophe in American history. By confirming the "</w:t>
      </w:r>
      <w:r w:rsidR="00177630" w:rsidRPr="00177630">
        <w:t>Silicon Valley Bank</w:t>
      </w:r>
      <w:r w:rsidR="00E460C6" w:rsidRPr="00E460C6">
        <w:t xml:space="preserve">" Stock Price Data, we would delve further into the actual condition in this </w:t>
      </w:r>
      <w:r w:rsidR="00177630">
        <w:t>article</w:t>
      </w:r>
      <w:r w:rsidR="00E460C6" w:rsidRPr="00E460C6">
        <w:t xml:space="preserve">. To accomplish the very same, we applied a very well-known statistical paradigm, Benford's Law. We have cross-validated the results using comparable statistics to corroborate the findings. The Validation will indeed serve as the basis for evaluating the circumstance. In addition to these, Benford's Law has several temporal proximities, known as conformal ranges, which provide a closer examination of the extent of data morphing that has occurred in the data presented by the various organizations. We would rather apply Benford's Law to ascertain the </w:t>
      </w:r>
      <w:r w:rsidR="00AC2837" w:rsidRPr="00AC2837">
        <w:t>Silicon Valley Bank </w:t>
      </w:r>
      <w:r w:rsidR="00E460C6" w:rsidRPr="00E460C6">
        <w:t>Stocks' Price's validity proximity, which would provide us a much better overview of what to expect in th</w:t>
      </w:r>
      <w:r w:rsidR="00177630">
        <w:t xml:space="preserve">is current </w:t>
      </w:r>
      <w:r w:rsidR="00E460C6" w:rsidRPr="00E460C6">
        <w:t>event of the catastrophe.</w:t>
      </w:r>
      <w:r w:rsidR="00C53723">
        <w:t xml:space="preserve"> Alongside, the result in validated using Zipf’s Law. </w:t>
      </w:r>
      <w:r w:rsidR="00177630" w:rsidRPr="00177630">
        <w:t xml:space="preserve">The Opening Price of Stocks (the Price at Which the Market Opened), the Closing Price of Stocks (the Price at Which the Market Closed), and the Highest Price of Stocks (the Price at Which Stocks reached their Highest Point During the Trading Day) were Subjected to Validation </w:t>
      </w:r>
      <w:r w:rsidR="00177630">
        <w:t>w</w:t>
      </w:r>
      <w:r w:rsidR="00177630" w:rsidRPr="00177630">
        <w:t xml:space="preserve">ithin the </w:t>
      </w:r>
      <w:r w:rsidR="00177630">
        <w:t>t</w:t>
      </w:r>
      <w:r w:rsidR="00177630" w:rsidRPr="00177630">
        <w:t xml:space="preserve">imeframe of 36 </w:t>
      </w:r>
      <w:r w:rsidR="00177630">
        <w:t>y</w:t>
      </w:r>
      <w:r w:rsidR="00177630" w:rsidRPr="00177630">
        <w:t>ears, between 1987 and 2023. In addition, it is imperative that readers of this article take note of the fact that the conclusion that is formed about the topic discussed in this article is objective and is entirely based on statistical analysis and factual figures that have been presented by the Silicon Valley Bank Group.</w:t>
      </w:r>
    </w:p>
    <w:p w14:paraId="595110E5" w14:textId="77777777" w:rsidR="00094B39" w:rsidRPr="0049029D" w:rsidRDefault="00094B39" w:rsidP="0049029D">
      <w:pPr>
        <w:adjustRightInd w:val="0"/>
        <w:snapToGrid w:val="0"/>
        <w:rPr>
          <w:b/>
          <w:bCs/>
          <w:noProof w:val="0"/>
        </w:rPr>
      </w:pPr>
    </w:p>
    <w:p w14:paraId="07A6F7FE" w14:textId="7D56F64E"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ChaosNet</w:t>
      </w:r>
      <w:r w:rsidR="00094B39" w:rsidRPr="0049029D">
        <w:t>;</w:t>
      </w:r>
      <w:r w:rsidR="00370DC6" w:rsidRPr="0049029D">
        <w:t xml:space="preserve"> </w:t>
      </w:r>
      <w:r w:rsidR="00B467CB">
        <w:t>Silicon Valley Bank</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648AD1B3" w14:textId="629D637B" w:rsidR="00BD22D2" w:rsidRDefault="00443375" w:rsidP="00443375">
      <w:pPr>
        <w:pStyle w:val="MDPI31text"/>
      </w:pPr>
      <w:r w:rsidRPr="00443375">
        <w:t xml:space="preserve">Fraud [1] refers to activities, techniques, or organizations that fail to conform with laws that have been established for the welfare of the civilization's youth. Almost nothing has altered since the initial swindle, which transpired approximately 300 B.C. Time went, civilization [2] evolved, colonization [3] occurred, the commerce [4] surged and plummeted, but mankind's [5] most fundamental motivation remained constant. Evolution's principles cannot be modified, no matter how sophisticated con artists are. The conundrum appears to come from the fact that authoritarian regimes are able to accomplish this, as Russia did in 2008, by erecting non - quantifiable, spectacular government bureaucracy [6] obstructions that rationally assume and come to the realization that each and every objective and impartial and feasible oversight is an insurmountable challenge of an </w:t>
      </w:r>
      <w:r w:rsidRPr="00443375">
        <w:lastRenderedPageBreak/>
        <w:t>intruder, or, as occurred in Ukraine in 2004, both stakeholders of a disagreement can paddock their possess cadre of observers affirming or disputing the authenticity of the other's observations.</w:t>
      </w:r>
    </w:p>
    <w:p w14:paraId="3B88AD53" w14:textId="77777777" w:rsidR="00443375" w:rsidRDefault="00443375" w:rsidP="00443375">
      <w:pPr>
        <w:pStyle w:val="MDPI51figurecaption"/>
        <w:jc w:val="both"/>
        <w:rPr>
          <w:snapToGrid w:val="0"/>
          <w:sz w:val="20"/>
          <w:szCs w:val="22"/>
        </w:rPr>
      </w:pPr>
      <w:r w:rsidRPr="00443375">
        <w:rPr>
          <w:snapToGrid w:val="0"/>
          <w:sz w:val="20"/>
          <w:szCs w:val="22"/>
        </w:rPr>
        <w:t>Benford's law [7] has the ability to supply us with dependable data points on the overwhelming bulk of forgeries that transpire in our everyday routines, such as vote rigging, GDP falsification, credit card fraud, and income embezzlement.</w:t>
      </w:r>
    </w:p>
    <w:p w14:paraId="4C0555BE" w14:textId="3CC930EC" w:rsidR="00443375" w:rsidRDefault="00443375" w:rsidP="00443375">
      <w:pPr>
        <w:pStyle w:val="MDPI51figurecaption"/>
        <w:jc w:val="both"/>
        <w:rPr>
          <w:snapToGrid w:val="0"/>
          <w:sz w:val="20"/>
          <w:szCs w:val="22"/>
        </w:rPr>
      </w:pPr>
      <w:r w:rsidRPr="00443375">
        <w:rPr>
          <w:snapToGrid w:val="0"/>
          <w:sz w:val="20"/>
          <w:szCs w:val="22"/>
        </w:rPr>
        <w:t xml:space="preserve">The first digit law is a logarithmic [8] likelihood function hypothesis for the first digits of a randomized, vast, and diversified sample. It is also known as the law of aberrant numerals or Benford's law. The number's first significant digit is the first non-zero digit on the far left, such as </w:t>
      </w:r>
      <w:r>
        <w:rPr>
          <w:snapToGrid w:val="0"/>
          <w:sz w:val="20"/>
          <w:szCs w:val="22"/>
        </w:rPr>
        <w:t>1</w:t>
      </w:r>
      <w:r w:rsidRPr="00443375">
        <w:rPr>
          <w:snapToGrid w:val="0"/>
          <w:sz w:val="20"/>
          <w:szCs w:val="22"/>
        </w:rPr>
        <w:t xml:space="preserve"> for 1</w:t>
      </w:r>
      <w:r>
        <w:rPr>
          <w:snapToGrid w:val="0"/>
          <w:sz w:val="20"/>
          <w:szCs w:val="22"/>
        </w:rPr>
        <w:t>8</w:t>
      </w:r>
      <w:r w:rsidRPr="00443375">
        <w:rPr>
          <w:snapToGrid w:val="0"/>
          <w:sz w:val="20"/>
          <w:szCs w:val="22"/>
        </w:rPr>
        <w:t>297, 9 for 9</w:t>
      </w:r>
      <w:r>
        <w:rPr>
          <w:snapToGrid w:val="0"/>
          <w:sz w:val="20"/>
          <w:szCs w:val="22"/>
        </w:rPr>
        <w:t>09</w:t>
      </w:r>
      <w:r w:rsidRPr="00443375">
        <w:rPr>
          <w:snapToGrid w:val="0"/>
          <w:sz w:val="20"/>
          <w:szCs w:val="22"/>
        </w:rPr>
        <w:t>9, and 0 for 0.00789</w:t>
      </w:r>
      <w:r>
        <w:rPr>
          <w:snapToGrid w:val="0"/>
          <w:sz w:val="20"/>
          <w:szCs w:val="22"/>
        </w:rPr>
        <w:t>54</w:t>
      </w:r>
      <w:r w:rsidRPr="00443375">
        <w:rPr>
          <w:snapToGrid w:val="0"/>
          <w:sz w:val="20"/>
          <w:szCs w:val="22"/>
        </w:rPr>
        <w:t xml:space="preserve">5. </w:t>
      </w:r>
      <w:r w:rsidR="00B467CB" w:rsidRPr="00443375">
        <w:rPr>
          <w:snapToGrid w:val="0"/>
          <w:sz w:val="20"/>
          <w:szCs w:val="22"/>
        </w:rPr>
        <w:t>Accordin</w:t>
      </w:r>
      <w:r w:rsidR="00B467CB">
        <w:rPr>
          <w:snapToGrid w:val="0"/>
          <w:sz w:val="20"/>
          <w:szCs w:val="22"/>
        </w:rPr>
        <w:t>g</w:t>
      </w:r>
      <w:r w:rsidRPr="00443375">
        <w:rPr>
          <w:snapToGrid w:val="0"/>
          <w:sz w:val="20"/>
          <w:szCs w:val="22"/>
        </w:rPr>
        <w:t xml:space="preserve"> to the proposed Benford's law, the chances of a given number occurring as the initial figure decrease logarithmically as the digit's value increases from 1 to 9. The expected probability is indicated in the table below.</w:t>
      </w:r>
    </w:p>
    <w:p w14:paraId="21E2AD83" w14:textId="5E53B2F5" w:rsidR="008721B1" w:rsidRDefault="008721B1" w:rsidP="00443375">
      <w:pPr>
        <w:pStyle w:val="MDPI51figurecaption"/>
      </w:pPr>
      <w:r>
        <w:rPr>
          <w:b/>
        </w:rPr>
        <w:t>Table</w:t>
      </w:r>
      <w:r w:rsidRPr="0049029D">
        <w:rPr>
          <w:b/>
        </w:rPr>
        <w:t xml:space="preserve"> 1. </w:t>
      </w:r>
      <w:r w:rsidRPr="008721B1">
        <w:rPr>
          <w:bCs/>
        </w:rPr>
        <w:t>Numbers' likelihood of occurring according to Benford's law</w:t>
      </w:r>
      <w:r w:rsidR="00B878DD">
        <w:rPr>
          <w:bCs/>
        </w:rPr>
        <w:t xml:space="preserve">. General Distribution of Numbers in nature, is supposed to follow this likelihood table in most case, if not tampered. </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63B4969F" w14:textId="77777777" w:rsidR="00695C09" w:rsidRDefault="00695C09" w:rsidP="00695C09">
      <w:pPr>
        <w:pStyle w:val="MDPI31text"/>
      </w:pPr>
      <w:r w:rsidRPr="00695C09">
        <w:t>Mark J. Nigrini [9] was the first to use Benford's technique in the domains of exploratory investigation and embezzlement monitoring. His evaluation included cutting edge relevant theories on Benford's law in addition to the intricate legal procedures surrounding fraud judgements. Mark J. Nigrini discusses how to utilize tests like Benford's rule to detect prejudices, inaccuracies, and deception in economic and electioneering data in his book Investigative Analytics, published by Wiley Publishing. He was hailed by both the Wall Street Journal and the national media, and he produced multiple research projects on Benford's law.</w:t>
      </w:r>
    </w:p>
    <w:p w14:paraId="3A3A8DD1" w14:textId="77777777" w:rsidR="00695C09" w:rsidRDefault="00695C09" w:rsidP="00695C09">
      <w:pPr>
        <w:pStyle w:val="MDPI31text"/>
      </w:pPr>
    </w:p>
    <w:p w14:paraId="2B01051A" w14:textId="5260F717" w:rsidR="00695C09" w:rsidRDefault="00695C09" w:rsidP="00695C09">
      <w:pPr>
        <w:pStyle w:val="MDPI31text"/>
      </w:pPr>
      <w:r w:rsidRPr="00695C09">
        <w:t>As per Arno Berger as well as Theodore P. Hill's research paper [10] on the unpredictability of Benford's law, in order to provide accurate and persuasive findings, this principle ought to be restricted to a small amount of distinctive datasets; alternatively, it presents a greater number of problems than positives.</w:t>
      </w:r>
    </w:p>
    <w:p w14:paraId="6A45C8F3" w14:textId="77777777" w:rsidR="00695C09" w:rsidRDefault="00695C09" w:rsidP="00695C09">
      <w:pPr>
        <w:pStyle w:val="MDPI31text"/>
      </w:pPr>
    </w:p>
    <w:p w14:paraId="1BC06017" w14:textId="2E6A811B" w:rsidR="008721B1" w:rsidRDefault="00695C09" w:rsidP="008721B1">
      <w:pPr>
        <w:pStyle w:val="MDPI31text"/>
      </w:pPr>
      <w:r w:rsidRPr="00695C09">
        <w:t>Hill, Theodore [11] endeavored to outline the various implications of Benford's law in fields like computer design, computer simulation, and the monitoring of unethical conduct in accounting reporting in his research report.</w:t>
      </w:r>
    </w:p>
    <w:p w14:paraId="0AC5DE6F" w14:textId="77777777" w:rsidR="00695C09" w:rsidRDefault="00695C09" w:rsidP="008721B1">
      <w:pPr>
        <w:pStyle w:val="MDPI31text"/>
      </w:pPr>
    </w:p>
    <w:p w14:paraId="477C550E" w14:textId="1447F11E" w:rsidR="008721B1" w:rsidRDefault="00695C09" w:rsidP="008721B1">
      <w:pPr>
        <w:pStyle w:val="MDPI31text"/>
      </w:pPr>
      <w:r w:rsidRPr="00695C09">
        <w:t>Jan H. P. Eloff's [12] examination of Innocent Mbona was centered on providing a solution to combat malicious social networking sites bots. The study found that, while an equal option on an evil bot compendium violated Benford's law, a regular intelligent sample evenly resembled it. According to the aforementioned study, the recognized possibilities in Benford's law domain are coherent and, as a result, correspond to the data obtained by PCA as well as the Randomly assigned Forest methodology on a corresponding dataset.</w:t>
      </w:r>
    </w:p>
    <w:p w14:paraId="50355DE6" w14:textId="77777777" w:rsidR="008023CC" w:rsidRDefault="00695C09" w:rsidP="008023CC">
      <w:pPr>
        <w:pStyle w:val="MDPI31text"/>
      </w:pPr>
      <w:r w:rsidRPr="00695C09">
        <w:lastRenderedPageBreak/>
        <w:t>Aleksandar Toi and Jernej Vii's research emphasizes the implementation of Benford's law to collaborative intellectual networks [13]. The report provided a unique way to assess the academic organization's performance. The report goes thoroughly into the disparities amongst Slovenia's diverse and varied scientific disciplines.</w:t>
      </w:r>
      <w:r w:rsidR="00377D48">
        <w:t xml:space="preserve"> </w:t>
      </w:r>
    </w:p>
    <w:p w14:paraId="6CD15E33" w14:textId="77777777" w:rsidR="008F03BB" w:rsidRDefault="008F03BB" w:rsidP="008023CC">
      <w:pPr>
        <w:pStyle w:val="MDPI31text"/>
      </w:pPr>
    </w:p>
    <w:p w14:paraId="4BE8624E" w14:textId="1E72F1CC" w:rsidR="008F03BB" w:rsidRDefault="008F03BB" w:rsidP="008023CC">
      <w:pPr>
        <w:pStyle w:val="MDPI31text"/>
      </w:pPr>
      <w:r w:rsidRPr="008F03BB">
        <w:t>Zipf's law was originally developed for the study of anomalous word occurrences in linguistics, asserting that given a lexicon or analysis of the data of natural language happenings, the occurrence frequency of any phrase is inversely related to its rank in the frequency distribution table. Thus, the most commonly encountered word will occur roughly twice as consistently as the second most occurring more frequently phrase, three times as frequently as the third most occurring more frequently phrase, and so on. In the Brown Corpus of American English text, for example, the word "the" serves as the most commonly occurring phrase, accounting for nearly 7.0% of all happenings of the words. The statute is designated after American cognitive scientist George Kingsley Zipf. Even as he was not the one who gave birth to that logic, or more accurately, the law. Jean-Baptiste Estoup, a French stenographer, had acknowledged this sequence long before Zipf did.</w:t>
      </w:r>
      <w:r>
        <w:t xml:space="preserve"> We would extend the applicability of the Zipf’s Law apart from linguistics in Criminology. </w:t>
      </w:r>
    </w:p>
    <w:p w14:paraId="287BB30B" w14:textId="77777777" w:rsidR="008023CC" w:rsidRDefault="008023CC" w:rsidP="008023CC">
      <w:pPr>
        <w:pStyle w:val="MDPI31text"/>
      </w:pPr>
    </w:p>
    <w:p w14:paraId="5483B9BA" w14:textId="47B0D26B" w:rsidR="00DD1346" w:rsidRDefault="008023CC" w:rsidP="008023CC">
      <w:pPr>
        <w:pStyle w:val="MDPI31text"/>
      </w:pPr>
      <w:r w:rsidRPr="008023CC">
        <w:t xml:space="preserve">Silicon Valley Bank was a California state-chartered banking system with their headquarters in Santa Clara. It had offices in California as well as Massachusetts. </w:t>
      </w:r>
      <w:r w:rsidR="00AC2837" w:rsidRPr="00AC2837">
        <w:t>Silicon Valley Bank </w:t>
      </w:r>
      <w:r w:rsidRPr="008023CC">
        <w:t>Group, a market capitalization bank investment group with operations in 15 U.S. states and more than a dozen overseas countries, owned the financial institution.</w:t>
      </w:r>
      <w:r w:rsidR="00B708A6" w:rsidRPr="00B708A6">
        <w:t xml:space="preserve"> Being a Bay Area regional bank, Silicon Valley Bank offered tailored solutions exclusively to the demands of the technology industry, and it quickly became the largest financial institution by holdings in Silicon Valley as well as the chosen bank of 50 percent of all private equity startup companies. After central bank-endorsed raises in interest rates as during 2021-2023 wage growth surge, the nation experienced a liquidity crisis on its reserves in March 2023, leading to its dissolution and confiscation by the </w:t>
      </w:r>
      <w:r w:rsidR="00B708A6">
        <w:t>“</w:t>
      </w:r>
      <w:r w:rsidR="00B708A6" w:rsidRPr="00B708A6">
        <w:t>California Department of Financial Protection and Innovation</w:t>
      </w:r>
      <w:r w:rsidR="00B708A6">
        <w:t>”</w:t>
      </w:r>
      <w:r w:rsidR="00B708A6" w:rsidRPr="00B708A6">
        <w:t xml:space="preserve">, its regulatory, on March 10, 2023. The </w:t>
      </w:r>
      <w:r w:rsidR="00B708A6">
        <w:t>“</w:t>
      </w:r>
      <w:r w:rsidR="00B708A6" w:rsidRPr="00B708A6">
        <w:t>California Department of Financial Protection and Innovation</w:t>
      </w:r>
      <w:r w:rsidR="00B708A6">
        <w:t>”</w:t>
      </w:r>
      <w:r w:rsidR="00B708A6" w:rsidRPr="00B708A6">
        <w:t xml:space="preserve"> designated the </w:t>
      </w:r>
      <w:r w:rsidR="00B708A6">
        <w:t>“</w:t>
      </w:r>
      <w:r w:rsidR="00B708A6" w:rsidRPr="00B708A6">
        <w:t>Federal Deposit Insurance Corporation</w:t>
      </w:r>
      <w:r w:rsidR="00B708A6">
        <w:t>”</w:t>
      </w:r>
      <w:r w:rsidR="00B708A6" w:rsidRPr="00B708A6">
        <w:t xml:space="preserve"> as </w:t>
      </w:r>
      <w:r w:rsidR="002914D4">
        <w:t xml:space="preserve">the </w:t>
      </w:r>
      <w:r w:rsidR="00B708A6" w:rsidRPr="00B708A6">
        <w:t>receiver of the bank, citing insufficient assets and financial distress. This was the second-largest banking collapse in US annals, following the collapse of Washington Mutual in 2008</w:t>
      </w:r>
      <w:r w:rsidR="00B708A6">
        <w:t>.</w:t>
      </w:r>
    </w:p>
    <w:p w14:paraId="145E1983" w14:textId="4CD63A51" w:rsidR="00377D48" w:rsidRPr="0049029D" w:rsidRDefault="00377D48" w:rsidP="00377D48">
      <w:pPr>
        <w:pStyle w:val="MDPI21heading1"/>
      </w:pPr>
      <w:r>
        <w:t>2</w:t>
      </w:r>
      <w:r w:rsidRPr="0049029D">
        <w:t xml:space="preserve">. </w:t>
      </w:r>
      <w:r w:rsidR="002914D4">
        <w:t>R</w:t>
      </w:r>
      <w:r w:rsidR="002914D4" w:rsidRPr="002914D4">
        <w:t xml:space="preserve">emembrance </w:t>
      </w:r>
      <w:r w:rsidR="002914D4">
        <w:t>– a dive into the past</w:t>
      </w:r>
    </w:p>
    <w:p w14:paraId="774D6838" w14:textId="300D3B2A" w:rsidR="00B0348E" w:rsidRDefault="002914D4" w:rsidP="0049029D">
      <w:pPr>
        <w:pStyle w:val="MDPI31text"/>
      </w:pPr>
      <w:r w:rsidRPr="002914D4">
        <w:t xml:space="preserve">During the </w:t>
      </w:r>
      <w:r>
        <w:t>“</w:t>
      </w:r>
      <w:r w:rsidRPr="002914D4">
        <w:rPr>
          <w:i/>
          <w:iCs/>
        </w:rPr>
        <w:t>dot-com bubble</w:t>
      </w:r>
      <w:r w:rsidR="00F11A55">
        <w:t>,”</w:t>
      </w:r>
      <w:r w:rsidRPr="002914D4">
        <w:t xml:space="preserve"> a surge of information technology startups produced an infusion of revenue for Silicon Valley Bankers, which was known for its propensity to finance to managers and the shareholders who were not yet lucrative. In 1995, amongst 2,000 clients were telecommunications pioneers </w:t>
      </w:r>
      <w:r w:rsidRPr="002914D4">
        <w:rPr>
          <w:i/>
          <w:iCs/>
        </w:rPr>
        <w:t>Cisco Systems</w:t>
      </w:r>
      <w:r w:rsidRPr="002914D4">
        <w:t xml:space="preserve"> </w:t>
      </w:r>
      <w:r w:rsidR="00220BFD">
        <w:t xml:space="preserve">[14] </w:t>
      </w:r>
      <w:r w:rsidRPr="002914D4">
        <w:t xml:space="preserve">и </w:t>
      </w:r>
      <w:r w:rsidRPr="002914D4">
        <w:rPr>
          <w:i/>
          <w:iCs/>
        </w:rPr>
        <w:t>Bay Networks</w:t>
      </w:r>
      <w:r w:rsidR="00220BFD">
        <w:t xml:space="preserve"> [15]. </w:t>
      </w:r>
      <w:r w:rsidRPr="002914D4">
        <w:t>The Silicon Valley Bank relocated its offices from San Jose to Santa Clara that year. The stock price of the holding firm rose throughout the bubble but plunged 50% after it crashed. The bank expanded its presence in technological hotspots</w:t>
      </w:r>
      <w:r w:rsidR="00220BFD">
        <w:t xml:space="preserve"> [16]</w:t>
      </w:r>
      <w:r w:rsidRPr="002914D4">
        <w:t xml:space="preserve"> around the globe. Ken Wilcox took over as CEO in the year 2000 and decided to keep the company's exclusive emphasis on technology providers instead of broadening into a commercial and industrial financial institution.</w:t>
      </w:r>
      <w:r w:rsidR="00F11A55" w:rsidRPr="00F11A55">
        <w:t xml:space="preserve"> </w:t>
      </w:r>
      <w:r w:rsidR="00AC2837" w:rsidRPr="00AC2837">
        <w:t>Silicon Valley Bank </w:t>
      </w:r>
      <w:r w:rsidR="00F11A55" w:rsidRPr="00F11A55">
        <w:t>joined the personal financial services sector explicitly in 2002, capitalizing on existing knowledge and ties with affluent pioneering investors and entrepreneurs. In 2003, the financial institution funded multiple high global trade deployments to Bengaluru as well as Bombay, Tel Aviv, and Shanghai and Beijing, introducing with them a deputation of two dozen Silicon Valley venture capitalist class to satisfy to financial institutions, business owners, and government representatives in preparation for the attempting to open of worldwide operations. In 2004, it unveiled an internationalization strategy campaign, with new offices in Bangalore, London, Beijing, and Israel.</w:t>
      </w:r>
      <w:r w:rsidR="008A0D09" w:rsidRPr="008A0D09">
        <w:t xml:space="preserve"> During the 2007-2008 financial crisis, the federal government invested $235 million in </w:t>
      </w:r>
      <w:r w:rsidR="00AC2837">
        <w:t>Silicon Valley Bank</w:t>
      </w:r>
      <w:r w:rsidR="008A0D09" w:rsidRPr="008A0D09">
        <w:t xml:space="preserve"> Financial Group in compensation for preference shares and </w:t>
      </w:r>
      <w:r w:rsidR="008A0D09" w:rsidRPr="008A0D09">
        <w:lastRenderedPageBreak/>
        <w:t>incentives underneath the "</w:t>
      </w:r>
      <w:r w:rsidR="008A0D09" w:rsidRPr="009664B5">
        <w:rPr>
          <w:i/>
          <w:iCs/>
        </w:rPr>
        <w:t>Troubled Asset Relief Program</w:t>
      </w:r>
      <w:r w:rsidR="008A0D09" w:rsidRPr="008A0D09">
        <w:t>"</w:t>
      </w:r>
      <w:r w:rsidR="00220BFD">
        <w:t xml:space="preserve"> [17]</w:t>
      </w:r>
      <w:r w:rsidR="008A0D09" w:rsidRPr="008A0D09">
        <w:t>. It repaid the US Treasury $10 million in payments over 2 years, then utilized the profits of a $300 million stock offering to purchase back the government's stake. In April 2011, Greg Becker took over as CEO, succeeding Wilcox.</w:t>
      </w:r>
      <w:r w:rsidR="009664B5" w:rsidRPr="009664B5">
        <w:t xml:space="preserve"> In 2012, </w:t>
      </w:r>
      <w:r w:rsidR="00AC2837">
        <w:t>Silicon Valley Bank</w:t>
      </w:r>
      <w:r w:rsidR="009664B5" w:rsidRPr="009664B5">
        <w:t xml:space="preserve"> teamed with "</w:t>
      </w:r>
      <w:r w:rsidR="009664B5" w:rsidRPr="009664B5">
        <w:rPr>
          <w:i/>
          <w:iCs/>
        </w:rPr>
        <w:t>Shanghai Pudong Development Bank</w:t>
      </w:r>
      <w:r w:rsidR="009664B5" w:rsidRPr="009664B5">
        <w:t>" </w:t>
      </w:r>
      <w:r w:rsidR="00220BFD">
        <w:t xml:space="preserve">[18] </w:t>
      </w:r>
      <w:r w:rsidR="009664B5" w:rsidRPr="009664B5">
        <w:t xml:space="preserve">to establish SPD Silicon Valley Bank, a distinct Shanghai-based financial institution that lends to indigenous entrepreneurs. The financial institution, which is held equally by the two corporations, has been approved by Chinese financial regulators to function in RMB, putting it one of only a few American-owned institutions to do so. </w:t>
      </w:r>
      <w:r w:rsidR="00AC2837">
        <w:t>Silicon Valley Bank</w:t>
      </w:r>
      <w:r w:rsidR="009664B5" w:rsidRPr="009664B5">
        <w:t>'s active participation in funding new venture capital merger and acquisition provided it with trade secrets about such takeovers, and Mounir Gad, an erstwhile vice president of finance and board member at the bank, agreed to plead guilty in June 2021 to breaching the laws governing insider trading in 2015 and 2016 once he nudged off a companion about 3 startup buyouts.</w:t>
      </w:r>
      <w:r w:rsidR="00B0348E" w:rsidRPr="00B0348E">
        <w:t xml:space="preserve"> </w:t>
      </w:r>
    </w:p>
    <w:p w14:paraId="0EF09600" w14:textId="77777777" w:rsidR="001B59F9" w:rsidRDefault="00B0348E" w:rsidP="0049029D">
      <w:pPr>
        <w:pStyle w:val="MDPI31text"/>
      </w:pPr>
      <w:r w:rsidRPr="00B0348E">
        <w:t>With the institution highly engaged on long-term Treasury securities, Silicon Valley Bank started to sustain heavy losses in 2022 as interest rates went up and the technology sector experienced a significant dip in development. Silicon Valley Bank  reported anticipated mark-to-market liabilities in addition of $15 billion regarding equity securities to expiration as of end of year. A confluence of circumstances, notably inadequate risk assessment and a banking collapse pushed by technology industry investors, prompted the institution to fail in early March of 2023. Utilization of social networking sites was said to have played a role during both the initial banking collapse and its repercussions, with all those concerned by the possible loss of money pleading with authorities to guarantee that unprotected balances remained restored.</w:t>
      </w:r>
      <w:r w:rsidR="001B59F9">
        <w:t xml:space="preserve"> </w:t>
      </w:r>
    </w:p>
    <w:p w14:paraId="0BD46BA0" w14:textId="653D5EAA" w:rsidR="00D33387" w:rsidRDefault="001B59F9" w:rsidP="0049029D">
      <w:pPr>
        <w:pStyle w:val="MDPI31text"/>
      </w:pPr>
      <w:r w:rsidRPr="001B59F9">
        <w:t>Investigators from FDIC</w:t>
      </w:r>
      <w:r w:rsidR="00220BFD">
        <w:t xml:space="preserve"> [19]</w:t>
      </w:r>
      <w:r w:rsidRPr="001B59F9">
        <w:t xml:space="preserve"> came at </w:t>
      </w:r>
      <w:r w:rsidR="00AC2837">
        <w:t>Silicon Valley Bank</w:t>
      </w:r>
      <w:r w:rsidRPr="001B59F9">
        <w:t>'s headquarters early on March 10 to analyze the company's financial performance. Some hours later, the "California Department of Financial Protection and Innovation" issued an order suspending Silicon Valley Bank and appointing the Federal Deposit Insurance Corporation as administrator, alleging insufficient cash and bankruptcy. The Federal Deposit Insurance Corporation subsequently established the Deposit Insurance National Bank of Santa Clara to restore the bank's facilities the following Monday and allow access to safeguarded assets. Greg Becker, the CEO of Silicon Valley Bank, formerly was a member of the board of trustees of the "</w:t>
      </w:r>
      <w:r w:rsidRPr="001B59F9">
        <w:rPr>
          <w:i/>
          <w:iCs/>
        </w:rPr>
        <w:t>Federal Reserve Bank of San Francisco</w:t>
      </w:r>
      <w:r w:rsidRPr="001B59F9">
        <w:t>" but resigned from that post. On March 12, a first bidding of Silicon Valley Bank assets drew a solitary bid from an unnamed buyer, following PNC Financial Services as well as RBC Bank declined to make bids. The Federal Deposit Insurance Corporation turned down this proposal and intends to run a second bidding to solicit proposals from major financial institutions following the announcement that the bank's systemically important categorization authorizes the Federal Deposit Insurance Corporation to cover all depositors.</w:t>
      </w:r>
      <w:r w:rsidR="009067C9" w:rsidRPr="009067C9">
        <w:t xml:space="preserve"> The Federal Deposit Insurance Corporation announced via press statement on March 13, 2023, that the agency had shifted Silicon Valley Bank holdings to a new bridge financial institution, Silicon Valley Bridge Bank, and selected </w:t>
      </w:r>
      <w:r w:rsidR="009067C9" w:rsidRPr="009067C9">
        <w:rPr>
          <w:i/>
          <w:iCs/>
        </w:rPr>
        <w:t>Tim Mayopoulos</w:t>
      </w:r>
      <w:r w:rsidR="009067C9" w:rsidRPr="009067C9">
        <w:t xml:space="preserve"> as CEO. Silicon Valley Bridge Bank, is an FDIC-insured institution, and all Silicon Valley Bank depositors will become shareholders of the new bridge financial institution. The Federal Deposit Insurance Corporation stated that the goal is to offer an entirely new degree of safety to Silicon Valley Bank clients, which includes maintaining conventional banking hour shifts and anticipated banking transactions such as internet transactions, ATM access to customer deposits, and cheque writing, and the Federal deposit insurance corporation asserted that Silicon Valley Bank's official inspections will evident and loan consumers should continually make reimbursements. The FDIC further stated that their responsibility does not include protecting Silicon Valley Bank stockholders or uninsured debt holders.</w:t>
      </w:r>
      <w:r w:rsidR="00AC2837" w:rsidRPr="00AC2837">
        <w:t xml:space="preserve"> Silicon Valley Bank's erstwhile parent company, Silicon Valley Bank Financial Group, declared bankruptcy under </w:t>
      </w:r>
      <w:r w:rsidR="00AC2837" w:rsidRPr="00AC2837">
        <w:rPr>
          <w:i/>
          <w:iCs/>
        </w:rPr>
        <w:t>Chapter 11</w:t>
      </w:r>
      <w:r w:rsidR="00AC2837" w:rsidRPr="00AC2837">
        <w:t xml:space="preserve"> on March 17, 2023. The remaining subsidiaries, Silicon Valley Bank Capital and Silicon Valley Bank Securities, were not included in the bankruptcy. Silicon Valley Bridge Bank, better known as Silicon Valley Bank Private, is not included in the insolvency petition because it is no longer linked with Silicon Valley Bank Financial Group. The repercussions have </w:t>
      </w:r>
      <w:r w:rsidR="00AC2837" w:rsidRPr="00AC2837">
        <w:lastRenderedPageBreak/>
        <w:t>generated what organizational investors as well as entrepreneurs have described as a big gap in the ecosystem, the entire influence of which on entrepreneurs and technological enterprises is unknown. The Federal deposit insurance corporation made the announcement on March 26, 2023, that "</w:t>
      </w:r>
      <w:r w:rsidR="00AC2837" w:rsidRPr="00AC2837">
        <w:rPr>
          <w:i/>
          <w:iCs/>
        </w:rPr>
        <w:t xml:space="preserve">First Citizens </w:t>
      </w:r>
      <w:proofErr w:type="spellStart"/>
      <w:r w:rsidR="00AC2837" w:rsidRPr="00AC2837">
        <w:rPr>
          <w:i/>
          <w:iCs/>
        </w:rPr>
        <w:t>BancShares</w:t>
      </w:r>
      <w:proofErr w:type="spellEnd"/>
      <w:r w:rsidR="00AC2837" w:rsidRPr="00AC2837">
        <w:t>" will buy Silicon Valley Bank's commercial banking business. As part of the agreement, First Citizens purchased approximately $119 billion in accounts and $72 billion in Silicon Valley Bank loans, which were depreciated by $16.5 billion, whereas approximately $90 billion of Silicon Valley Bank securities remained in administration. The following day, Silicon Valley Bank's 17 branches relaunched as "</w:t>
      </w:r>
      <w:r w:rsidR="00AC2837" w:rsidRPr="00AC2837">
        <w:rPr>
          <w:i/>
          <w:iCs/>
        </w:rPr>
        <w:t>Silicon Valley Bank, a part of First Citizens Bank</w:t>
      </w:r>
      <w:r w:rsidR="00AC2837" w:rsidRPr="00AC2837">
        <w:t>," with all Silicon Valley Bank depositors turning First Citizens customers.</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1E0DFF40" w:rsidR="00393950" w:rsidRDefault="00C70BC2" w:rsidP="0049029D">
      <w:pPr>
        <w:pStyle w:val="MDPI31text"/>
      </w:pPr>
      <w:r w:rsidRPr="00C70BC2">
        <w:t>Benford's law was discovered in the 1800s, when Canadian-American astrophysicist Simon Newcomb [20] noted that the initial entries in his log file, specifically those beginning with "1," were in significantly poor state than the later ones. This revelation triggered a thinking impetus in him, that finally manifested as a notion.</w:t>
      </w:r>
      <w:r>
        <w:t xml:space="preserve"> </w:t>
      </w:r>
      <w:r w:rsidR="00393950" w:rsidRPr="00393950">
        <w:t xml:space="preserve">The </w:t>
      </w:r>
      <w:r>
        <w:t>probability</w:t>
      </w:r>
      <w:r w:rsidR="00393950" w:rsidRPr="00393950">
        <w:t xml:space="preserve"> of a single number </w:t>
      </w:r>
      <w:r>
        <w:t>λ</w:t>
      </w:r>
      <w:r w:rsidRPr="00393950">
        <w:t xml:space="preserve"> </w:t>
      </w:r>
      <w:r w:rsidR="00393950" w:rsidRPr="00393950">
        <w:t xml:space="preserve">being the </w:t>
      </w:r>
      <w:r>
        <w:t>initial</w:t>
      </w:r>
      <w:r w:rsidR="00393950" w:rsidRPr="00393950">
        <w:t xml:space="preserve"> digit, according to </w:t>
      </w:r>
      <w:r>
        <w:t>the</w:t>
      </w:r>
      <w:r w:rsidR="00393950" w:rsidRPr="00393950">
        <w:t xml:space="preserve">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4D9BE193" w:rsidR="003A5270" w:rsidRDefault="00C70BC2" w:rsidP="00C70BC2">
      <w:pPr>
        <w:pStyle w:val="MDPI31text"/>
      </w:pPr>
      <w:r w:rsidRPr="00C70BC2">
        <w:t>In the early 1900s, a researcher called Frank Benford witnessed a similar scenario. He investigated the definitions on a wide assortment of data sets at the period and was surprised to find that practically all of these showed correlation with the notion. Benford employed around 20,000 specimens in all for his investigation, which was a vast number to analyze at the time. Nonetheless, Benford was subsequently awarded credit for this. In a brief, Benford's law acknowledges that a variety of methodologies or performance measures that offer ascent to figures such as investment gains, neighborhood of metropolitan areas, identifiers of locations, firm profits, and locations of emplacements and residences define dynamics in the digits that might otherwise show up counterintuitive where smaller points are far more ubiquitous than larger ones.</w:t>
      </w:r>
      <w:r>
        <w:t xml:space="preserve"> </w:t>
      </w:r>
      <w:r w:rsidR="00393950" w:rsidRPr="00393950">
        <w:t>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234FE9A2" w:rsidR="00393950" w:rsidRDefault="00393950" w:rsidP="0049029D">
      <w:pPr>
        <w:pStyle w:val="MDPI31text"/>
      </w:pPr>
      <w:r w:rsidRPr="00393950">
        <w:t>The graph</w:t>
      </w:r>
      <w:r w:rsidR="00F11A55">
        <w:t>ical representation</w:t>
      </w:r>
      <w:r w:rsidRPr="00393950">
        <w:t xml:space="preserve"> for Benford’s law </w:t>
      </w:r>
      <w:r w:rsidR="00C70BC2">
        <w:t>subjected to the Initial</w:t>
      </w:r>
      <w:r w:rsidRPr="00393950">
        <w:t xml:space="preserve"> digi</w:t>
      </w:r>
      <w:r w:rsidR="00C70BC2">
        <w:t>ts</w:t>
      </w:r>
      <w:r w:rsidRPr="00393950">
        <w:t xml:space="preserve">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drawing>
          <wp:inline distT="0" distB="0" distL="0" distR="0" wp14:anchorId="557C479D" wp14:editId="3EFC1900">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3744000" cy="2808000"/>
                    </a:xfrm>
                    <a:prstGeom prst="rect">
                      <a:avLst/>
                    </a:prstGeom>
                  </pic:spPr>
                </pic:pic>
              </a:graphicData>
            </a:graphic>
          </wp:inline>
        </w:drawing>
      </w:r>
    </w:p>
    <w:p w14:paraId="636F399E" w14:textId="18F0DDAC" w:rsidR="00393950" w:rsidRDefault="00393950" w:rsidP="00B90A7C">
      <w:pPr>
        <w:pStyle w:val="MDPI51figurecaption"/>
        <w:jc w:val="both"/>
      </w:pPr>
      <w:r w:rsidRPr="0049029D">
        <w:rPr>
          <w:b/>
        </w:rPr>
        <w:lastRenderedPageBreak/>
        <w:t xml:space="preserve">Figure 1. </w:t>
      </w:r>
      <w:r w:rsidR="00F11A55" w:rsidRPr="00F11A55">
        <w:t>Graphic depicting Benford's law, with the initial values</w:t>
      </w:r>
      <w:r w:rsidR="00F11A55">
        <w:t>, δ</w:t>
      </w:r>
      <w:r w:rsidR="00F11A55" w:rsidRPr="00F11A55">
        <w:t xml:space="preserve"> on the x-axis and their related chance on the y-axis. In the picture above, P(</w:t>
      </w:r>
      <w:r w:rsidR="00F11A55">
        <w:t>δ</w:t>
      </w:r>
      <w:r w:rsidR="00F11A55" w:rsidRPr="00F11A55">
        <w:t xml:space="preserve">) </w:t>
      </w:r>
      <w:r w:rsidR="00F11A55">
        <w:t>is</w:t>
      </w:r>
      <w:r w:rsidR="00F11A55" w:rsidRPr="00F11A55">
        <w:t xml:space="preserve"> constrained on the y-axes, while </w:t>
      </w:r>
      <w:r w:rsidR="00F11A55">
        <w:t>δ</w:t>
      </w:r>
      <w:r w:rsidR="00F11A55" w:rsidRPr="00F11A55">
        <w:t xml:space="preserve"> </w:t>
      </w:r>
      <w:r w:rsidR="00F11A55">
        <w:t>is</w:t>
      </w:r>
      <w:r w:rsidR="00F11A55" w:rsidRPr="00F11A55">
        <w:t xml:space="preserve"> constrained on the x-axes. The following ogives were created using the points shown in Table 1.</w:t>
      </w:r>
    </w:p>
    <w:p w14:paraId="7AA31DC1" w14:textId="6ACA8F82" w:rsidR="00393950" w:rsidRDefault="00393950" w:rsidP="0049029D">
      <w:pPr>
        <w:pStyle w:val="MDPI31text"/>
      </w:pPr>
      <w:r w:rsidRPr="00393950">
        <w:t xml:space="preserve">The aforementioned formulation works only for the occurrence of digit δ as the 1’st digit only, though another </w:t>
      </w:r>
      <w:r w:rsidR="00F11A55">
        <w:t xml:space="preserve">advanced </w:t>
      </w:r>
      <w:r w:rsidRPr="00393950">
        <w:t>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r w:rsidRPr="003C5BD7">
        <w:t>Generally speaking, Benford's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B739C38" w14:textId="1277E60D" w:rsidR="00D36E03" w:rsidRDefault="00F11A55" w:rsidP="0049029D">
      <w:pPr>
        <w:pStyle w:val="MDPI31text"/>
      </w:pPr>
      <w:r w:rsidRPr="00F11A55">
        <w:t>In the late 1900s, Hal Varian, an analyst, advocated applying Benford's law to monitor for deceit in socioeconomic statistics [21], and this was accomplished. So why not? Benford's law grew to prominence for excellent purpose. After all, its operational scope was so extensive.</w:t>
      </w:r>
      <w:r>
        <w:t xml:space="preserve"> </w:t>
      </w:r>
      <w:r w:rsidR="00D36E03" w:rsidRPr="00D36E03">
        <w:t>Benford's law has applications in many different fields, including the following:</w:t>
      </w:r>
    </w:p>
    <w:p w14:paraId="0765A5DB" w14:textId="77777777" w:rsidR="00F11A55" w:rsidRDefault="00F11A55" w:rsidP="000E7228">
      <w:pPr>
        <w:pStyle w:val="MDPI31text"/>
        <w:numPr>
          <w:ilvl w:val="0"/>
          <w:numId w:val="42"/>
        </w:numPr>
      </w:pPr>
      <w:r w:rsidRPr="00F11A55">
        <w:t>It is used to detect fraud by examining discrepancies in the election [22] dataset.</w:t>
      </w:r>
    </w:p>
    <w:p w14:paraId="6B2ACD20" w14:textId="77777777" w:rsidR="00F11A55" w:rsidRDefault="00F11A55" w:rsidP="000E7228">
      <w:pPr>
        <w:pStyle w:val="MDPI31text"/>
        <w:numPr>
          <w:ilvl w:val="0"/>
          <w:numId w:val="42"/>
        </w:numPr>
      </w:pPr>
      <w:r w:rsidRPr="00F11A55">
        <w:t>It is employed to look up pricing digits.</w:t>
      </w:r>
    </w:p>
    <w:p w14:paraId="1B493BFA" w14:textId="35A1CEB0" w:rsidR="000E7228" w:rsidRDefault="00F11A55" w:rsidP="000E7228">
      <w:pPr>
        <w:pStyle w:val="MDPI31text"/>
        <w:numPr>
          <w:ilvl w:val="0"/>
          <w:numId w:val="42"/>
        </w:numPr>
      </w:pPr>
      <w:r w:rsidRPr="00F11A55">
        <w:t>It is used to authenticate genetic sequences</w:t>
      </w:r>
      <w:r w:rsidR="00D500AF">
        <w:t xml:space="preserve"> [23]</w:t>
      </w:r>
      <w:r w:rsidR="000E7228">
        <w:t>.</w:t>
      </w:r>
    </w:p>
    <w:p w14:paraId="5E8E62AE" w14:textId="6E27900D" w:rsidR="000E7228" w:rsidRDefault="00F11A55" w:rsidP="000E7228">
      <w:pPr>
        <w:pStyle w:val="MDPI31text"/>
        <w:numPr>
          <w:ilvl w:val="0"/>
          <w:numId w:val="42"/>
        </w:numPr>
      </w:pPr>
      <w:r w:rsidRPr="00F11A55">
        <w:t>It is employed in order to inspect for mistakes in scientific publications [24].</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3773FB6A" w:rsidR="00E27F67" w:rsidRDefault="00E27F67" w:rsidP="0049029D">
      <w:pPr>
        <w:pStyle w:val="MDPI31text"/>
      </w:pPr>
      <w:r>
        <w:t xml:space="preserve">In this section, we would try to reach to a conclusion of the </w:t>
      </w:r>
      <w:r w:rsidR="00230496">
        <w:t>collapse</w:t>
      </w:r>
      <w:r>
        <w:t xml:space="preserve"> following some well fledged scientific paradigms, especially, Benford’s Law. We have collected the </w:t>
      </w:r>
      <w:r w:rsidR="00230496">
        <w:t>Silicon Valley Bank</w:t>
      </w:r>
      <w:r>
        <w:t xml:space="preserve"> Stock Value between </w:t>
      </w:r>
      <w:r w:rsidR="00B4370E">
        <w:t>1987</w:t>
      </w:r>
      <w:r>
        <w:t xml:space="preserve">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34E18070" w:rsidR="00255229" w:rsidRDefault="00255229" w:rsidP="00255229">
      <w:pPr>
        <w:pStyle w:val="MDPI31text"/>
        <w:numPr>
          <w:ilvl w:val="0"/>
          <w:numId w:val="43"/>
        </w:numPr>
      </w:pPr>
      <w:r w:rsidRPr="00255229">
        <w:rPr>
          <w:i/>
          <w:iCs/>
        </w:rPr>
        <w:t>Mean Absolute Deviation Test</w:t>
      </w:r>
      <w:r>
        <w:t xml:space="preserve">: </w:t>
      </w:r>
      <w:r w:rsidR="00230496" w:rsidRPr="00230496">
        <w:t>The direct deviation from the origin.</w:t>
      </w:r>
      <w:r w:rsidR="00230496">
        <w:t xml:space="preserve"> </w:t>
      </w:r>
      <w:r>
        <w:t xml:space="preserve">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It’s Mean Absolute Deviation</w:t>
      </w:r>
      <w:r w:rsidR="00D34E13">
        <w:t xml:space="preserve"> [25]</w:t>
      </w:r>
      <w:r>
        <w:t xml:space="preserve"> is </w:t>
      </w:r>
    </w:p>
    <w:p w14:paraId="01DC53A7" w14:textId="7207B292" w:rsidR="00255229" w:rsidRPr="00061B1E" w:rsidRDefault="00000000"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33721F04" w:rsidR="00061B1E" w:rsidRPr="00D34E13" w:rsidRDefault="00230496" w:rsidP="00061B1E">
      <w:pPr>
        <w:pStyle w:val="MDPI51figurecaption"/>
        <w:rPr>
          <w:b/>
          <w:sz w:val="20"/>
          <w:szCs w:val="22"/>
        </w:rPr>
      </w:pPr>
      <w:r w:rsidRPr="00230496">
        <w:rPr>
          <w:iCs/>
          <w:sz w:val="20"/>
          <w:szCs w:val="22"/>
        </w:rPr>
        <w:t>To be appropriate for adopting Benford's law, a collection must meet the Mean Absolute Deviation requirement within a particular range.</w:t>
      </w:r>
      <w:r>
        <w:rPr>
          <w:iCs/>
          <w:sz w:val="20"/>
          <w:szCs w:val="22"/>
        </w:rPr>
        <w:t xml:space="preserve"> </w:t>
      </w:r>
      <w:r w:rsidR="00061B1E" w:rsidRPr="00D34E13">
        <w:rPr>
          <w:iCs/>
          <w:sz w:val="20"/>
          <w:szCs w:val="22"/>
        </w:rPr>
        <w:t>Table 2. Shows the conformity range</w:t>
      </w:r>
      <w:r w:rsidR="00A82BC2">
        <w:rPr>
          <w:iCs/>
          <w:sz w:val="20"/>
          <w:szCs w:val="22"/>
        </w:rPr>
        <w:t xml:space="preserve"> [26]</w:t>
      </w:r>
      <w:r w:rsidR="00061B1E" w:rsidRPr="00D34E13">
        <w:rPr>
          <w:iCs/>
          <w:sz w:val="20"/>
          <w:szCs w:val="22"/>
        </w:rPr>
        <w:t xml:space="preserve"> from a Paper by Mark. J. Nigrini</w:t>
      </w:r>
      <w:r w:rsidR="00061B1E" w:rsidRPr="00D34E13">
        <w:rPr>
          <w:b/>
          <w:sz w:val="20"/>
          <w:szCs w:val="22"/>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1C821592" w:rsidR="00255229" w:rsidRPr="00255229" w:rsidRDefault="00255229" w:rsidP="00255229">
      <w:pPr>
        <w:pStyle w:val="MDPI31text"/>
        <w:numPr>
          <w:ilvl w:val="0"/>
          <w:numId w:val="43"/>
        </w:numPr>
        <w:rPr>
          <w:i/>
          <w:iCs/>
        </w:rPr>
      </w:pPr>
      <w:r w:rsidRPr="00255229">
        <w:rPr>
          <w:i/>
          <w:iCs/>
        </w:rPr>
        <w:t>Mantissa Arc Test</w:t>
      </w:r>
      <w:r>
        <w:t xml:space="preserve">: </w:t>
      </w:r>
      <w:r w:rsidR="00230496" w:rsidRPr="00230496">
        <w:t>We may use this investigation to find the centroid of a set of mantissas that have wholly or partially distributed together around unit circle.</w:t>
      </w:r>
      <w:r w:rsidR="00230496">
        <w:t xml:space="preserve"> </w:t>
      </w:r>
      <w:r w:rsidR="00D21F27" w:rsidRPr="00D21F27">
        <w:t xml:space="preserve">The pivot </w:t>
      </w:r>
      <w:r w:rsidR="00D21F27" w:rsidRPr="00D21F27">
        <w:lastRenderedPageBreak/>
        <w:t>point, or the average vector, is the vector that results if the mantissa of integers is spread evenly over the unit circle</w:t>
      </w:r>
      <w:r w:rsidR="00AC2837">
        <w:t xml:space="preserve"> with central coordinates</w:t>
      </w:r>
      <w:r w:rsidR="00D21F27" w:rsidRPr="00D21F27">
        <w:t xml:space="preserve"> (0,</w:t>
      </w:r>
      <w:r w:rsidR="00D21F27">
        <w:t xml:space="preserve"> </w:t>
      </w:r>
      <w:r w:rsidR="00D21F27" w:rsidRPr="00D21F27">
        <w:t>0).</w:t>
      </w:r>
    </w:p>
    <w:p w14:paraId="4B260106" w14:textId="2FF819EA" w:rsidR="00255229" w:rsidRPr="00255229" w:rsidRDefault="00000000"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55229"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w:t>
      </w:r>
      <w:r w:rsidR="002928E3">
        <w:rPr>
          <w:iCs/>
        </w:rPr>
        <w:t xml:space="preserve"> [27]</w:t>
      </w:r>
      <w:r w:rsidR="00D21F27" w:rsidRPr="00D21F27">
        <w:rPr>
          <w:iCs/>
        </w:rPr>
        <w: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000000"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7C14DFBE" w:rsidR="002C410F" w:rsidRDefault="00000000"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D21F27"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00D21F27"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D21F27"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 xml:space="preserve">If the pixels on the scatter diagram are roughly identical to zero, the "Difference" graph, or scatter plot, that represents the distinction in between Artificial Likelihood and also the </w:t>
      </w:r>
      <w:r w:rsidR="00230496">
        <w:rPr>
          <w:rFonts w:eastAsiaTheme="minorEastAsia"/>
          <w:shd w:val="clear" w:color="auto" w:fill="FFFFFF"/>
        </w:rPr>
        <w:t>The</w:t>
      </w:r>
      <w:r w:rsidR="00AC2837" w:rsidRPr="00AC2837">
        <w:rPr>
          <w:rFonts w:eastAsiaTheme="minorEastAsia"/>
          <w:shd w:val="clear" w:color="auto" w:fill="FFFFFF"/>
        </w:rPr>
        <w:t xml:space="preserve"> proposed equation's likelihood greatly conforms to the collection's legitimacy. Based on this scatter graph, we may examine the dataset's fairness by deciding if it contributes or diverts attention using our option of being able. The Mean Absolute Deviation analysis provides the most reliable method for determining the degree to which the data matches Benford's law. If the MAD test produces a score of "non-conformity" rather than "moderate conformity," the Chi-Square и Mantissa Arc tests serve to measure extra compliance.</w:t>
      </w:r>
    </w:p>
    <w:p w14:paraId="0B7E065B" w14:textId="02B4FD29" w:rsidR="002C410F" w:rsidRPr="002C410F" w:rsidRDefault="00C1575B" w:rsidP="002C410F">
      <w:pPr>
        <w:pStyle w:val="MDPI21heading1"/>
        <w:numPr>
          <w:ilvl w:val="1"/>
          <w:numId w:val="42"/>
        </w:numPr>
        <w:rPr>
          <w:b w:val="0"/>
          <w:bCs/>
          <w:i/>
          <w:iCs/>
        </w:rPr>
      </w:pPr>
      <w:r>
        <w:rPr>
          <w:b w:val="0"/>
          <w:bCs/>
          <w:i/>
          <w:iCs/>
        </w:rPr>
        <w:t xml:space="preserve">The </w:t>
      </w:r>
      <w:r w:rsidR="00230496">
        <w:rPr>
          <w:b w:val="0"/>
          <w:bCs/>
          <w:i/>
          <w:iCs/>
        </w:rPr>
        <w:t>SVB</w:t>
      </w:r>
      <w:r>
        <w:rPr>
          <w:b w:val="0"/>
          <w:bCs/>
          <w:i/>
          <w:iCs/>
        </w:rPr>
        <w:t xml:space="preserve"> Stock Price Opening Value</w:t>
      </w:r>
    </w:p>
    <w:p w14:paraId="4151B4A0" w14:textId="485CCE84" w:rsidR="002C410F" w:rsidRDefault="00230496" w:rsidP="00B96FF3">
      <w:pPr>
        <w:pStyle w:val="ListParagraph"/>
        <w:spacing w:line="0" w:lineRule="atLeast"/>
        <w:ind w:left="2552"/>
        <w:rPr>
          <w:rFonts w:eastAsia="Times New Roman"/>
          <w:iCs/>
          <w:noProof w:val="0"/>
          <w:snapToGrid w:val="0"/>
          <w:szCs w:val="22"/>
          <w:lang w:eastAsia="de-DE" w:bidi="en-US"/>
        </w:rPr>
      </w:pPr>
      <w:r w:rsidRPr="00230496">
        <w:rPr>
          <w:rFonts w:eastAsia="Times New Roman"/>
          <w:iCs/>
          <w:noProof w:val="0"/>
          <w:snapToGrid w:val="0"/>
          <w:szCs w:val="22"/>
          <w:lang w:eastAsia="de-DE" w:bidi="en-US"/>
        </w:rPr>
        <w:t>The Beginning Price refers to the price at which an asset is originally traded on a marketplace at the commencement of a transaction day.</w:t>
      </w:r>
      <w:r>
        <w:rPr>
          <w:rFonts w:eastAsia="Times New Roman"/>
          <w:iCs/>
          <w:noProof w:val="0"/>
          <w:snapToGrid w:val="0"/>
          <w:szCs w:val="22"/>
          <w:lang w:eastAsia="de-DE" w:bidi="en-US"/>
        </w:rPr>
        <w:t xml:space="preserve"> </w:t>
      </w:r>
      <w:r w:rsidR="002C410F">
        <w:rPr>
          <w:rFonts w:eastAsia="Times New Roman"/>
          <w:iCs/>
          <w:noProof w:val="0"/>
          <w:snapToGrid w:val="0"/>
          <w:szCs w:val="22"/>
          <w:lang w:eastAsia="de-DE" w:bidi="en-US"/>
        </w:rPr>
        <w:t xml:space="preserve">Table 3 shows a few instances of the Stock Opening Price between the time frame </w:t>
      </w:r>
      <w:r>
        <w:rPr>
          <w:rFonts w:eastAsia="Times New Roman"/>
          <w:iCs/>
          <w:noProof w:val="0"/>
          <w:snapToGrid w:val="0"/>
          <w:szCs w:val="22"/>
          <w:lang w:eastAsia="de-DE" w:bidi="en-US"/>
        </w:rPr>
        <w:t>1987</w:t>
      </w:r>
      <w:r w:rsidR="002C410F">
        <w:rPr>
          <w:rFonts w:eastAsia="Times New Roman"/>
          <w:iCs/>
          <w:noProof w:val="0"/>
          <w:snapToGrid w:val="0"/>
          <w:szCs w:val="22"/>
          <w:lang w:eastAsia="de-DE" w:bidi="en-US"/>
        </w:rPr>
        <w:t xml:space="preserve"> – 2023. </w:t>
      </w:r>
    </w:p>
    <w:p w14:paraId="22A3AF3F" w14:textId="77777777" w:rsidR="00EF28FE" w:rsidRDefault="00EF28FE" w:rsidP="00B96FF3">
      <w:pPr>
        <w:pStyle w:val="ListParagraph"/>
        <w:spacing w:line="0" w:lineRule="atLeast"/>
        <w:ind w:left="2552"/>
        <w:rPr>
          <w:rFonts w:eastAsia="Times New Roman"/>
          <w:iCs/>
          <w:noProof w:val="0"/>
          <w:snapToGrid w:val="0"/>
          <w:szCs w:val="22"/>
          <w:lang w:eastAsia="de-DE" w:bidi="en-US"/>
        </w:rPr>
      </w:pPr>
    </w:p>
    <w:p w14:paraId="18E4E42F" w14:textId="497F6E36"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3</w:t>
      </w:r>
      <w:r w:rsidRPr="002C410F">
        <w:rPr>
          <w:b/>
          <w:sz w:val="18"/>
          <w:szCs w:val="18"/>
        </w:rPr>
        <w:t xml:space="preserve">. </w:t>
      </w:r>
      <w:r>
        <w:rPr>
          <w:bCs/>
          <w:sz w:val="18"/>
          <w:szCs w:val="18"/>
        </w:rPr>
        <w:t xml:space="preserve">Stock Opening Price for Silicon Valley Bank. The following segment have been sprapped from the whole dataset to make it easier to demonstrate. </w:t>
      </w:r>
    </w:p>
    <w:p w14:paraId="2012904E"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7C4DDA45" w14:textId="77777777" w:rsidTr="009D2915">
        <w:tc>
          <w:tcPr>
            <w:tcW w:w="3855" w:type="dxa"/>
            <w:tcBorders>
              <w:bottom w:val="single" w:sz="4" w:space="0" w:color="auto"/>
            </w:tcBorders>
            <w:shd w:val="clear" w:color="auto" w:fill="auto"/>
          </w:tcPr>
          <w:p w14:paraId="0336C0C7" w14:textId="77777777" w:rsidR="00EF28FE" w:rsidRPr="008721B1" w:rsidRDefault="00EF28FE" w:rsidP="009D2915">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668E4DDC" w14:textId="77777777" w:rsidR="00EF28FE" w:rsidRPr="008721B1" w:rsidRDefault="00EF28FE" w:rsidP="009D2915">
            <w:pPr>
              <w:adjustRightInd w:val="0"/>
              <w:snapToGrid w:val="0"/>
              <w:jc w:val="left"/>
              <w:rPr>
                <w:b/>
                <w:bCs/>
                <w:noProof w:val="0"/>
              </w:rPr>
            </w:pPr>
            <w:r>
              <w:rPr>
                <w:b/>
                <w:bCs/>
              </w:rPr>
              <w:t>Stock Opening Price (USD)</w:t>
            </w:r>
          </w:p>
        </w:tc>
      </w:tr>
      <w:tr w:rsidR="00EF28FE" w:rsidRPr="0049029D" w14:paraId="35F95FD1" w14:textId="77777777" w:rsidTr="009D2915">
        <w:tc>
          <w:tcPr>
            <w:tcW w:w="3855" w:type="dxa"/>
            <w:shd w:val="clear" w:color="auto" w:fill="auto"/>
          </w:tcPr>
          <w:p w14:paraId="51BB88BE" w14:textId="6D5D8A2D" w:rsidR="00EF28FE" w:rsidRPr="0049029D" w:rsidRDefault="00EF28FE" w:rsidP="00EF28FE">
            <w:pPr>
              <w:adjustRightInd w:val="0"/>
              <w:snapToGrid w:val="0"/>
              <w:jc w:val="left"/>
              <w:rPr>
                <w:noProof w:val="0"/>
              </w:rPr>
            </w:pPr>
            <w:r w:rsidRPr="00EF0C46">
              <w:t>26-10-1987</w:t>
            </w:r>
          </w:p>
        </w:tc>
        <w:tc>
          <w:tcPr>
            <w:tcW w:w="3855" w:type="dxa"/>
            <w:shd w:val="clear" w:color="auto" w:fill="auto"/>
          </w:tcPr>
          <w:p w14:paraId="2279CEA5" w14:textId="478A2932" w:rsidR="00EF28FE" w:rsidRPr="0049029D" w:rsidRDefault="00EF28FE" w:rsidP="00EF28FE">
            <w:pPr>
              <w:adjustRightInd w:val="0"/>
              <w:snapToGrid w:val="0"/>
              <w:jc w:val="left"/>
              <w:rPr>
                <w:noProof w:val="0"/>
              </w:rPr>
            </w:pPr>
            <w:r w:rsidRPr="006F3417">
              <w:t>0.751429</w:t>
            </w:r>
          </w:p>
        </w:tc>
      </w:tr>
      <w:tr w:rsidR="00EF28FE" w:rsidRPr="0049029D" w14:paraId="17E2E18B" w14:textId="77777777" w:rsidTr="009D2915">
        <w:tc>
          <w:tcPr>
            <w:tcW w:w="3855" w:type="dxa"/>
            <w:shd w:val="clear" w:color="auto" w:fill="auto"/>
          </w:tcPr>
          <w:p w14:paraId="3ADDA087" w14:textId="40E6E937" w:rsidR="00EF28FE" w:rsidRPr="0049029D" w:rsidRDefault="00EF28FE" w:rsidP="00EF28FE">
            <w:pPr>
              <w:adjustRightInd w:val="0"/>
              <w:snapToGrid w:val="0"/>
              <w:jc w:val="left"/>
              <w:rPr>
                <w:noProof w:val="0"/>
              </w:rPr>
            </w:pPr>
            <w:r w:rsidRPr="00EF0C46">
              <w:t>27-10-1987</w:t>
            </w:r>
          </w:p>
        </w:tc>
        <w:tc>
          <w:tcPr>
            <w:tcW w:w="3855" w:type="dxa"/>
            <w:shd w:val="clear" w:color="auto" w:fill="auto"/>
          </w:tcPr>
          <w:p w14:paraId="63643F72" w14:textId="38A4E805" w:rsidR="00EF28FE" w:rsidRPr="0049029D" w:rsidRDefault="00EF28FE" w:rsidP="00EF28FE">
            <w:pPr>
              <w:adjustRightInd w:val="0"/>
              <w:snapToGrid w:val="0"/>
              <w:jc w:val="left"/>
              <w:rPr>
                <w:noProof w:val="0"/>
              </w:rPr>
            </w:pPr>
            <w:r w:rsidRPr="006F3417">
              <w:t>0.751429</w:t>
            </w:r>
          </w:p>
        </w:tc>
      </w:tr>
      <w:tr w:rsidR="00EF28FE" w:rsidRPr="0049029D" w14:paraId="7A41084E" w14:textId="77777777" w:rsidTr="009D2915">
        <w:tc>
          <w:tcPr>
            <w:tcW w:w="3855" w:type="dxa"/>
            <w:shd w:val="clear" w:color="auto" w:fill="auto"/>
          </w:tcPr>
          <w:p w14:paraId="75F33EE6" w14:textId="57894D5E" w:rsidR="00EF28FE" w:rsidRPr="0049029D" w:rsidRDefault="00EF28FE" w:rsidP="00EF28FE">
            <w:pPr>
              <w:adjustRightInd w:val="0"/>
              <w:snapToGrid w:val="0"/>
              <w:jc w:val="left"/>
              <w:rPr>
                <w:noProof w:val="0"/>
              </w:rPr>
            </w:pPr>
            <w:r w:rsidRPr="00EF0C46">
              <w:t>28-10-1987</w:t>
            </w:r>
          </w:p>
        </w:tc>
        <w:tc>
          <w:tcPr>
            <w:tcW w:w="3855" w:type="dxa"/>
            <w:shd w:val="clear" w:color="auto" w:fill="auto"/>
          </w:tcPr>
          <w:p w14:paraId="0FC1009C" w14:textId="435849AC" w:rsidR="00EF28FE" w:rsidRPr="0049029D" w:rsidRDefault="00EF28FE" w:rsidP="00EF28FE">
            <w:pPr>
              <w:adjustRightInd w:val="0"/>
              <w:snapToGrid w:val="0"/>
              <w:jc w:val="left"/>
              <w:rPr>
                <w:noProof w:val="0"/>
              </w:rPr>
            </w:pPr>
            <w:r w:rsidRPr="006F3417">
              <w:t>0</w:t>
            </w:r>
          </w:p>
        </w:tc>
      </w:tr>
      <w:tr w:rsidR="00EF28FE" w:rsidRPr="0049029D" w14:paraId="6B68D04E" w14:textId="77777777" w:rsidTr="009D2915">
        <w:tc>
          <w:tcPr>
            <w:tcW w:w="3855" w:type="dxa"/>
            <w:shd w:val="clear" w:color="auto" w:fill="auto"/>
          </w:tcPr>
          <w:p w14:paraId="2BE89BE9" w14:textId="019A26E0" w:rsidR="00EF28FE" w:rsidRPr="00DE29B0" w:rsidRDefault="00EF28FE" w:rsidP="00EF28FE">
            <w:pPr>
              <w:adjustRightInd w:val="0"/>
              <w:snapToGrid w:val="0"/>
              <w:jc w:val="left"/>
            </w:pPr>
            <w:r w:rsidRPr="00EF0C46">
              <w:t>29-10-1987</w:t>
            </w:r>
          </w:p>
        </w:tc>
        <w:tc>
          <w:tcPr>
            <w:tcW w:w="3855" w:type="dxa"/>
            <w:shd w:val="clear" w:color="auto" w:fill="auto"/>
          </w:tcPr>
          <w:p w14:paraId="15B211FD" w14:textId="36BC0DFC" w:rsidR="00EF28FE" w:rsidRPr="00DE29B0" w:rsidRDefault="00EF28FE" w:rsidP="00EF28FE">
            <w:pPr>
              <w:adjustRightInd w:val="0"/>
              <w:snapToGrid w:val="0"/>
              <w:jc w:val="left"/>
            </w:pPr>
            <w:r w:rsidRPr="006F3417">
              <w:t>0.751429</w:t>
            </w:r>
          </w:p>
        </w:tc>
      </w:tr>
      <w:tr w:rsidR="00EF28FE" w:rsidRPr="0049029D" w14:paraId="457F276C" w14:textId="77777777" w:rsidTr="009D2915">
        <w:tc>
          <w:tcPr>
            <w:tcW w:w="3855" w:type="dxa"/>
            <w:shd w:val="clear" w:color="auto" w:fill="auto"/>
          </w:tcPr>
          <w:p w14:paraId="2F0C1F6C" w14:textId="43F8FD8F" w:rsidR="00EF28FE" w:rsidRPr="00D21F27" w:rsidRDefault="00EF28FE" w:rsidP="00EF28FE">
            <w:pPr>
              <w:adjustRightInd w:val="0"/>
              <w:snapToGrid w:val="0"/>
              <w:jc w:val="left"/>
            </w:pPr>
            <w:r w:rsidRPr="00EF0C46">
              <w:t>30-10-1987</w:t>
            </w:r>
          </w:p>
        </w:tc>
        <w:tc>
          <w:tcPr>
            <w:tcW w:w="3855" w:type="dxa"/>
            <w:shd w:val="clear" w:color="auto" w:fill="auto"/>
          </w:tcPr>
          <w:p w14:paraId="7F1E390A" w14:textId="7F7103A3" w:rsidR="00EF28FE" w:rsidRPr="00A54569" w:rsidRDefault="00EF28FE" w:rsidP="00EF28FE">
            <w:pPr>
              <w:adjustRightInd w:val="0"/>
              <w:snapToGrid w:val="0"/>
              <w:jc w:val="left"/>
            </w:pPr>
            <w:r w:rsidRPr="006F3417">
              <w:t>0.751429</w:t>
            </w:r>
          </w:p>
        </w:tc>
      </w:tr>
      <w:tr w:rsidR="00EF28FE" w:rsidRPr="0049029D" w14:paraId="58F65F7C" w14:textId="77777777" w:rsidTr="009D2915">
        <w:tc>
          <w:tcPr>
            <w:tcW w:w="3855" w:type="dxa"/>
            <w:shd w:val="clear" w:color="auto" w:fill="auto"/>
          </w:tcPr>
          <w:p w14:paraId="3A183E90" w14:textId="7EDFB4A4" w:rsidR="00EF28FE" w:rsidRPr="00D21F27" w:rsidRDefault="00EF28FE" w:rsidP="00EF28FE">
            <w:pPr>
              <w:adjustRightInd w:val="0"/>
              <w:snapToGrid w:val="0"/>
              <w:jc w:val="left"/>
            </w:pPr>
            <w:r w:rsidRPr="00EF0C46">
              <w:t>02-11-1987</w:t>
            </w:r>
          </w:p>
        </w:tc>
        <w:tc>
          <w:tcPr>
            <w:tcW w:w="3855" w:type="dxa"/>
            <w:shd w:val="clear" w:color="auto" w:fill="auto"/>
          </w:tcPr>
          <w:p w14:paraId="4F24FC78" w14:textId="41519491" w:rsidR="00EF28FE" w:rsidRPr="00A54569" w:rsidRDefault="00EF28FE" w:rsidP="00EF28FE">
            <w:pPr>
              <w:adjustRightInd w:val="0"/>
              <w:snapToGrid w:val="0"/>
              <w:jc w:val="left"/>
            </w:pPr>
            <w:r w:rsidRPr="006F3417">
              <w:t>0.722997</w:t>
            </w:r>
          </w:p>
        </w:tc>
      </w:tr>
      <w:tr w:rsidR="00EF28FE" w:rsidRPr="0049029D" w14:paraId="3BD8B592" w14:textId="77777777" w:rsidTr="009D2915">
        <w:tc>
          <w:tcPr>
            <w:tcW w:w="3855" w:type="dxa"/>
            <w:shd w:val="clear" w:color="auto" w:fill="auto"/>
          </w:tcPr>
          <w:p w14:paraId="7EB9F45B" w14:textId="1B039E3C" w:rsidR="00EF28FE" w:rsidRPr="00D21F27" w:rsidRDefault="00EF28FE" w:rsidP="00EF28FE">
            <w:pPr>
              <w:adjustRightInd w:val="0"/>
              <w:snapToGrid w:val="0"/>
              <w:jc w:val="left"/>
            </w:pPr>
            <w:r w:rsidRPr="00EF0C46">
              <w:t>03-11-1987</w:t>
            </w:r>
          </w:p>
        </w:tc>
        <w:tc>
          <w:tcPr>
            <w:tcW w:w="3855" w:type="dxa"/>
            <w:shd w:val="clear" w:color="auto" w:fill="auto"/>
          </w:tcPr>
          <w:p w14:paraId="3EE03EDF" w14:textId="089D6A42" w:rsidR="00EF28FE" w:rsidRPr="00A54569" w:rsidRDefault="00EF28FE" w:rsidP="00EF28FE">
            <w:pPr>
              <w:adjustRightInd w:val="0"/>
              <w:snapToGrid w:val="0"/>
              <w:jc w:val="left"/>
            </w:pPr>
            <w:r w:rsidRPr="006F3417">
              <w:t>0.722997</w:t>
            </w:r>
          </w:p>
        </w:tc>
      </w:tr>
      <w:tr w:rsidR="00EF28FE" w:rsidRPr="0049029D" w14:paraId="20E88846" w14:textId="77777777" w:rsidTr="009D2915">
        <w:tc>
          <w:tcPr>
            <w:tcW w:w="3855" w:type="dxa"/>
            <w:shd w:val="clear" w:color="auto" w:fill="auto"/>
          </w:tcPr>
          <w:p w14:paraId="03BA839A" w14:textId="724D9577" w:rsidR="00EF28FE" w:rsidRPr="00D21F27" w:rsidRDefault="00EF28FE" w:rsidP="00EF28FE">
            <w:pPr>
              <w:adjustRightInd w:val="0"/>
              <w:snapToGrid w:val="0"/>
              <w:jc w:val="left"/>
            </w:pPr>
            <w:r w:rsidRPr="00EF0C46">
              <w:t>04-11-1987</w:t>
            </w:r>
          </w:p>
        </w:tc>
        <w:tc>
          <w:tcPr>
            <w:tcW w:w="3855" w:type="dxa"/>
            <w:shd w:val="clear" w:color="auto" w:fill="auto"/>
          </w:tcPr>
          <w:p w14:paraId="25574B17" w14:textId="5CD3D19B" w:rsidR="00EF28FE" w:rsidRPr="00A54569" w:rsidRDefault="00EF28FE" w:rsidP="00EF28FE">
            <w:pPr>
              <w:adjustRightInd w:val="0"/>
              <w:snapToGrid w:val="0"/>
              <w:jc w:val="left"/>
            </w:pPr>
            <w:r w:rsidRPr="006F3417">
              <w:t>0.701772</w:t>
            </w:r>
          </w:p>
        </w:tc>
      </w:tr>
      <w:tr w:rsidR="00EF28FE" w:rsidRPr="0049029D" w14:paraId="390CCBAB" w14:textId="77777777" w:rsidTr="009D2915">
        <w:tc>
          <w:tcPr>
            <w:tcW w:w="3855" w:type="dxa"/>
            <w:shd w:val="clear" w:color="auto" w:fill="auto"/>
          </w:tcPr>
          <w:p w14:paraId="13C0B3E2" w14:textId="35A6C271" w:rsidR="00EF28FE" w:rsidRPr="00D21F27" w:rsidRDefault="00EF28FE" w:rsidP="00EF28FE">
            <w:pPr>
              <w:adjustRightInd w:val="0"/>
              <w:snapToGrid w:val="0"/>
              <w:jc w:val="left"/>
            </w:pPr>
            <w:r w:rsidRPr="00EF0C46">
              <w:t>05-11-1987</w:t>
            </w:r>
          </w:p>
        </w:tc>
        <w:tc>
          <w:tcPr>
            <w:tcW w:w="3855" w:type="dxa"/>
            <w:shd w:val="clear" w:color="auto" w:fill="auto"/>
          </w:tcPr>
          <w:p w14:paraId="62C19F65" w14:textId="06710D15" w:rsidR="00EF28FE" w:rsidRPr="00A54569" w:rsidRDefault="00EF28FE" w:rsidP="00EF28FE">
            <w:pPr>
              <w:adjustRightInd w:val="0"/>
              <w:snapToGrid w:val="0"/>
              <w:jc w:val="left"/>
            </w:pPr>
            <w:r w:rsidRPr="006F3417">
              <w:t>0.701772</w:t>
            </w:r>
          </w:p>
        </w:tc>
      </w:tr>
      <w:tr w:rsidR="00EF28FE" w:rsidRPr="0049029D" w14:paraId="3C71FA1B" w14:textId="77777777" w:rsidTr="009D2915">
        <w:tc>
          <w:tcPr>
            <w:tcW w:w="3855" w:type="dxa"/>
            <w:shd w:val="clear" w:color="auto" w:fill="auto"/>
          </w:tcPr>
          <w:p w14:paraId="3AEE4121" w14:textId="581601D3" w:rsidR="00EF28FE" w:rsidRPr="00D21F27" w:rsidRDefault="00EF28FE" w:rsidP="00EF28FE">
            <w:pPr>
              <w:adjustRightInd w:val="0"/>
              <w:snapToGrid w:val="0"/>
              <w:jc w:val="left"/>
            </w:pPr>
            <w:r w:rsidRPr="00EF0C46">
              <w:t>06-11-1987</w:t>
            </w:r>
          </w:p>
        </w:tc>
        <w:tc>
          <w:tcPr>
            <w:tcW w:w="3855" w:type="dxa"/>
            <w:shd w:val="clear" w:color="auto" w:fill="auto"/>
          </w:tcPr>
          <w:p w14:paraId="614558F1" w14:textId="01ACEFC3" w:rsidR="00EF28FE" w:rsidRPr="00A54569" w:rsidRDefault="00EF28FE" w:rsidP="00EF28FE">
            <w:pPr>
              <w:adjustRightInd w:val="0"/>
              <w:snapToGrid w:val="0"/>
              <w:jc w:val="left"/>
            </w:pPr>
            <w:r w:rsidRPr="006F3417">
              <w:t>0</w:t>
            </w:r>
          </w:p>
        </w:tc>
      </w:tr>
      <w:tr w:rsidR="00EF28FE" w:rsidRPr="0049029D" w14:paraId="5E79D58C" w14:textId="77777777" w:rsidTr="009D2915">
        <w:tc>
          <w:tcPr>
            <w:tcW w:w="3855" w:type="dxa"/>
            <w:shd w:val="clear" w:color="auto" w:fill="auto"/>
          </w:tcPr>
          <w:p w14:paraId="7B94AE81" w14:textId="77777777" w:rsidR="00EF28FE" w:rsidRPr="00D21F27" w:rsidRDefault="00EF28FE" w:rsidP="009D2915">
            <w:pPr>
              <w:adjustRightInd w:val="0"/>
              <w:snapToGrid w:val="0"/>
              <w:jc w:val="left"/>
            </w:pPr>
            <w:r>
              <w:t>…</w:t>
            </w:r>
          </w:p>
        </w:tc>
        <w:tc>
          <w:tcPr>
            <w:tcW w:w="3855" w:type="dxa"/>
            <w:shd w:val="clear" w:color="auto" w:fill="auto"/>
          </w:tcPr>
          <w:p w14:paraId="11F77CC2" w14:textId="77777777" w:rsidR="00EF28FE" w:rsidRPr="00A54569" w:rsidRDefault="00EF28FE" w:rsidP="009D2915">
            <w:pPr>
              <w:adjustRightInd w:val="0"/>
              <w:snapToGrid w:val="0"/>
              <w:jc w:val="left"/>
            </w:pPr>
            <w:r>
              <w:t>…</w:t>
            </w:r>
          </w:p>
        </w:tc>
      </w:tr>
      <w:tr w:rsidR="00EF28FE" w:rsidRPr="0049029D" w14:paraId="74FFFF19" w14:textId="77777777" w:rsidTr="009D2915">
        <w:tc>
          <w:tcPr>
            <w:tcW w:w="3855" w:type="dxa"/>
            <w:shd w:val="clear" w:color="auto" w:fill="auto"/>
          </w:tcPr>
          <w:p w14:paraId="0302491C" w14:textId="0E85108B" w:rsidR="00EF28FE" w:rsidRPr="00D21F27" w:rsidRDefault="00EF28FE" w:rsidP="00EF28FE">
            <w:pPr>
              <w:adjustRightInd w:val="0"/>
              <w:snapToGrid w:val="0"/>
              <w:jc w:val="left"/>
            </w:pPr>
            <w:r w:rsidRPr="006277D4">
              <w:t>03-03-2023</w:t>
            </w:r>
          </w:p>
        </w:tc>
        <w:tc>
          <w:tcPr>
            <w:tcW w:w="3855" w:type="dxa"/>
            <w:shd w:val="clear" w:color="auto" w:fill="auto"/>
          </w:tcPr>
          <w:p w14:paraId="09BB6435" w14:textId="3DA00089" w:rsidR="00EF28FE" w:rsidRPr="00A54569" w:rsidRDefault="00EF28FE" w:rsidP="00EF28FE">
            <w:pPr>
              <w:adjustRightInd w:val="0"/>
              <w:snapToGrid w:val="0"/>
              <w:jc w:val="left"/>
            </w:pPr>
            <w:r w:rsidRPr="007C3E40">
              <w:t>280.339996</w:t>
            </w:r>
          </w:p>
        </w:tc>
      </w:tr>
      <w:tr w:rsidR="00EF28FE" w:rsidRPr="0049029D" w14:paraId="28A3AB7A" w14:textId="77777777" w:rsidTr="009D2915">
        <w:tc>
          <w:tcPr>
            <w:tcW w:w="3855" w:type="dxa"/>
            <w:shd w:val="clear" w:color="auto" w:fill="auto"/>
          </w:tcPr>
          <w:p w14:paraId="1BEA5B9C" w14:textId="01ED9191" w:rsidR="00EF28FE" w:rsidRPr="00D21F27" w:rsidRDefault="00EF28FE" w:rsidP="00EF28FE">
            <w:pPr>
              <w:adjustRightInd w:val="0"/>
              <w:snapToGrid w:val="0"/>
              <w:jc w:val="left"/>
            </w:pPr>
            <w:r w:rsidRPr="006277D4">
              <w:t>06-03-2023</w:t>
            </w:r>
          </w:p>
        </w:tc>
        <w:tc>
          <w:tcPr>
            <w:tcW w:w="3855" w:type="dxa"/>
            <w:shd w:val="clear" w:color="auto" w:fill="auto"/>
          </w:tcPr>
          <w:p w14:paraId="08C92BD8" w14:textId="6C9DF71A" w:rsidR="00EF28FE" w:rsidRPr="00A54569" w:rsidRDefault="00EF28FE" w:rsidP="00EF28FE">
            <w:pPr>
              <w:adjustRightInd w:val="0"/>
              <w:snapToGrid w:val="0"/>
              <w:jc w:val="left"/>
            </w:pPr>
            <w:r w:rsidRPr="007C3E40">
              <w:t>284.829987</w:t>
            </w:r>
          </w:p>
        </w:tc>
      </w:tr>
      <w:tr w:rsidR="00EF28FE" w:rsidRPr="0049029D" w14:paraId="424FE186" w14:textId="77777777" w:rsidTr="009D2915">
        <w:tc>
          <w:tcPr>
            <w:tcW w:w="3855" w:type="dxa"/>
            <w:shd w:val="clear" w:color="auto" w:fill="auto"/>
          </w:tcPr>
          <w:p w14:paraId="29F62F07" w14:textId="2942FB6E" w:rsidR="00EF28FE" w:rsidRPr="00D21F27" w:rsidRDefault="00EF28FE" w:rsidP="00EF28FE">
            <w:pPr>
              <w:adjustRightInd w:val="0"/>
              <w:snapToGrid w:val="0"/>
              <w:jc w:val="left"/>
            </w:pPr>
            <w:r w:rsidRPr="006277D4">
              <w:t>07-03-2023</w:t>
            </w:r>
          </w:p>
        </w:tc>
        <w:tc>
          <w:tcPr>
            <w:tcW w:w="3855" w:type="dxa"/>
            <w:shd w:val="clear" w:color="auto" w:fill="auto"/>
          </w:tcPr>
          <w:p w14:paraId="6476F2DD" w14:textId="1F67378F" w:rsidR="00EF28FE" w:rsidRPr="00A54569" w:rsidRDefault="00EF28FE" w:rsidP="00EF28FE">
            <w:pPr>
              <w:adjustRightInd w:val="0"/>
              <w:snapToGrid w:val="0"/>
              <w:jc w:val="left"/>
            </w:pPr>
            <w:r w:rsidRPr="007C3E40">
              <w:t>280.390015</w:t>
            </w:r>
          </w:p>
        </w:tc>
      </w:tr>
      <w:tr w:rsidR="00EF28FE" w:rsidRPr="0049029D" w14:paraId="5063249A" w14:textId="77777777" w:rsidTr="009D2915">
        <w:tc>
          <w:tcPr>
            <w:tcW w:w="3855" w:type="dxa"/>
            <w:shd w:val="clear" w:color="auto" w:fill="auto"/>
          </w:tcPr>
          <w:p w14:paraId="0D8BB856" w14:textId="6BD36F9A" w:rsidR="00EF28FE" w:rsidRPr="00D21F27" w:rsidRDefault="00EF28FE" w:rsidP="00EF28FE">
            <w:pPr>
              <w:adjustRightInd w:val="0"/>
              <w:snapToGrid w:val="0"/>
              <w:jc w:val="left"/>
            </w:pPr>
            <w:r w:rsidRPr="006277D4">
              <w:t>08-03-2023</w:t>
            </w:r>
          </w:p>
        </w:tc>
        <w:tc>
          <w:tcPr>
            <w:tcW w:w="3855" w:type="dxa"/>
            <w:shd w:val="clear" w:color="auto" w:fill="auto"/>
          </w:tcPr>
          <w:p w14:paraId="442B68E0" w14:textId="6DE8B4EE" w:rsidR="00EF28FE" w:rsidRPr="00A54569" w:rsidRDefault="00EF28FE" w:rsidP="00EF28FE">
            <w:pPr>
              <w:adjustRightInd w:val="0"/>
              <w:snapToGrid w:val="0"/>
              <w:jc w:val="left"/>
            </w:pPr>
            <w:r w:rsidRPr="007C3E40">
              <w:t>266.859985</w:t>
            </w:r>
          </w:p>
        </w:tc>
      </w:tr>
      <w:tr w:rsidR="00EF28FE" w:rsidRPr="0049029D" w14:paraId="2F541C23" w14:textId="77777777" w:rsidTr="009D2915">
        <w:tc>
          <w:tcPr>
            <w:tcW w:w="3855" w:type="dxa"/>
            <w:shd w:val="clear" w:color="auto" w:fill="auto"/>
          </w:tcPr>
          <w:p w14:paraId="06800FE0" w14:textId="622CB061" w:rsidR="00EF28FE" w:rsidRPr="00D21F27" w:rsidRDefault="00EF28FE" w:rsidP="00EF28FE">
            <w:pPr>
              <w:adjustRightInd w:val="0"/>
              <w:snapToGrid w:val="0"/>
              <w:jc w:val="left"/>
            </w:pPr>
            <w:r w:rsidRPr="006277D4">
              <w:t>09-03-2023</w:t>
            </w:r>
          </w:p>
        </w:tc>
        <w:tc>
          <w:tcPr>
            <w:tcW w:w="3855" w:type="dxa"/>
            <w:shd w:val="clear" w:color="auto" w:fill="auto"/>
          </w:tcPr>
          <w:p w14:paraId="79EDB560" w14:textId="19D19FB2" w:rsidR="00EF28FE" w:rsidRPr="00A54569" w:rsidRDefault="00EF28FE" w:rsidP="00EF28FE">
            <w:pPr>
              <w:adjustRightInd w:val="0"/>
              <w:snapToGrid w:val="0"/>
              <w:jc w:val="left"/>
            </w:pPr>
            <w:r w:rsidRPr="007C3E40">
              <w:t>176.550003</w:t>
            </w:r>
          </w:p>
        </w:tc>
      </w:tr>
      <w:tr w:rsidR="00EF28FE" w:rsidRPr="0049029D" w14:paraId="3C2AC464" w14:textId="77777777" w:rsidTr="009D2915">
        <w:tc>
          <w:tcPr>
            <w:tcW w:w="3855" w:type="dxa"/>
            <w:shd w:val="clear" w:color="auto" w:fill="auto"/>
          </w:tcPr>
          <w:p w14:paraId="48C832B9" w14:textId="69F6FE33" w:rsidR="00EF28FE" w:rsidRPr="00D21F27" w:rsidRDefault="00EF28FE" w:rsidP="00EF28FE">
            <w:pPr>
              <w:adjustRightInd w:val="0"/>
              <w:snapToGrid w:val="0"/>
              <w:jc w:val="left"/>
            </w:pPr>
            <w:r w:rsidRPr="006277D4">
              <w:t>10-03-2023</w:t>
            </w:r>
          </w:p>
        </w:tc>
        <w:tc>
          <w:tcPr>
            <w:tcW w:w="3855" w:type="dxa"/>
            <w:shd w:val="clear" w:color="auto" w:fill="auto"/>
          </w:tcPr>
          <w:p w14:paraId="434EAC0A" w14:textId="7D6D21A5" w:rsidR="00EF28FE" w:rsidRPr="00A54569" w:rsidRDefault="00EF28FE" w:rsidP="00EF28FE">
            <w:pPr>
              <w:adjustRightInd w:val="0"/>
              <w:snapToGrid w:val="0"/>
              <w:jc w:val="left"/>
            </w:pPr>
            <w:r w:rsidRPr="007C3E40">
              <w:t>106.040001</w:t>
            </w:r>
          </w:p>
        </w:tc>
      </w:tr>
      <w:tr w:rsidR="00EF28FE" w:rsidRPr="0049029D" w14:paraId="288D80BC" w14:textId="77777777" w:rsidTr="009D2915">
        <w:tc>
          <w:tcPr>
            <w:tcW w:w="3855" w:type="dxa"/>
            <w:shd w:val="clear" w:color="auto" w:fill="auto"/>
          </w:tcPr>
          <w:p w14:paraId="4FBCF21D" w14:textId="0E37D358" w:rsidR="00EF28FE" w:rsidRPr="00D21F27" w:rsidRDefault="00EF28FE" w:rsidP="00EF28FE">
            <w:pPr>
              <w:adjustRightInd w:val="0"/>
              <w:snapToGrid w:val="0"/>
              <w:jc w:val="left"/>
            </w:pPr>
            <w:r w:rsidRPr="006277D4">
              <w:t>13-03-2023</w:t>
            </w:r>
          </w:p>
        </w:tc>
        <w:tc>
          <w:tcPr>
            <w:tcW w:w="3855" w:type="dxa"/>
            <w:shd w:val="clear" w:color="auto" w:fill="auto"/>
          </w:tcPr>
          <w:p w14:paraId="1EA12ECF" w14:textId="3E7CE099" w:rsidR="00EF28FE" w:rsidRPr="00A54569" w:rsidRDefault="00EF28FE" w:rsidP="00EF28FE">
            <w:pPr>
              <w:adjustRightInd w:val="0"/>
              <w:snapToGrid w:val="0"/>
              <w:jc w:val="left"/>
            </w:pPr>
            <w:r w:rsidRPr="007C3E40">
              <w:t>106.040001</w:t>
            </w:r>
          </w:p>
        </w:tc>
      </w:tr>
      <w:tr w:rsidR="00EF28FE" w:rsidRPr="0049029D" w14:paraId="0ED60DD9" w14:textId="77777777" w:rsidTr="009D2915">
        <w:tc>
          <w:tcPr>
            <w:tcW w:w="3855" w:type="dxa"/>
            <w:shd w:val="clear" w:color="auto" w:fill="auto"/>
          </w:tcPr>
          <w:p w14:paraId="5790755A" w14:textId="1AEC90E8" w:rsidR="00EF28FE" w:rsidRPr="00D21F27" w:rsidRDefault="00EF28FE" w:rsidP="00EF28FE">
            <w:pPr>
              <w:adjustRightInd w:val="0"/>
              <w:snapToGrid w:val="0"/>
              <w:jc w:val="left"/>
            </w:pPr>
            <w:r w:rsidRPr="006277D4">
              <w:t>14-03-2023</w:t>
            </w:r>
          </w:p>
        </w:tc>
        <w:tc>
          <w:tcPr>
            <w:tcW w:w="3855" w:type="dxa"/>
            <w:shd w:val="clear" w:color="auto" w:fill="auto"/>
          </w:tcPr>
          <w:p w14:paraId="5BF2DB5B" w14:textId="264EE036" w:rsidR="00EF28FE" w:rsidRPr="00A54569" w:rsidRDefault="00EF28FE" w:rsidP="00EF28FE">
            <w:pPr>
              <w:adjustRightInd w:val="0"/>
              <w:snapToGrid w:val="0"/>
              <w:jc w:val="left"/>
            </w:pPr>
            <w:r w:rsidRPr="007C3E40">
              <w:t>106.040001</w:t>
            </w:r>
          </w:p>
        </w:tc>
      </w:tr>
      <w:tr w:rsidR="00EF28FE" w:rsidRPr="0049029D" w14:paraId="45F94C5D" w14:textId="77777777" w:rsidTr="009D2915">
        <w:tc>
          <w:tcPr>
            <w:tcW w:w="3855" w:type="dxa"/>
            <w:shd w:val="clear" w:color="auto" w:fill="auto"/>
          </w:tcPr>
          <w:p w14:paraId="44DE04DD" w14:textId="408C95BF" w:rsidR="00EF28FE" w:rsidRPr="00D21F27" w:rsidRDefault="00EF28FE" w:rsidP="00EF28FE">
            <w:pPr>
              <w:adjustRightInd w:val="0"/>
              <w:snapToGrid w:val="0"/>
              <w:jc w:val="left"/>
            </w:pPr>
            <w:r w:rsidRPr="006277D4">
              <w:t>15-03-2023</w:t>
            </w:r>
          </w:p>
        </w:tc>
        <w:tc>
          <w:tcPr>
            <w:tcW w:w="3855" w:type="dxa"/>
            <w:shd w:val="clear" w:color="auto" w:fill="auto"/>
          </w:tcPr>
          <w:p w14:paraId="146D739F" w14:textId="7BF630DF" w:rsidR="00EF28FE" w:rsidRPr="00A54569" w:rsidRDefault="00EF28FE" w:rsidP="00EF28FE">
            <w:pPr>
              <w:adjustRightInd w:val="0"/>
              <w:snapToGrid w:val="0"/>
              <w:jc w:val="left"/>
            </w:pPr>
            <w:r w:rsidRPr="007C3E40">
              <w:t>106.040001</w:t>
            </w:r>
          </w:p>
        </w:tc>
      </w:tr>
      <w:tr w:rsidR="00EF28FE" w:rsidRPr="0049029D" w14:paraId="7EFE95B8" w14:textId="77777777" w:rsidTr="009D2915">
        <w:tc>
          <w:tcPr>
            <w:tcW w:w="3855" w:type="dxa"/>
            <w:shd w:val="clear" w:color="auto" w:fill="auto"/>
          </w:tcPr>
          <w:p w14:paraId="07F36F12" w14:textId="416DC383" w:rsidR="00EF28FE" w:rsidRPr="00D21F27" w:rsidRDefault="00EF28FE" w:rsidP="00EF28FE">
            <w:pPr>
              <w:adjustRightInd w:val="0"/>
              <w:snapToGrid w:val="0"/>
              <w:jc w:val="left"/>
            </w:pPr>
            <w:r w:rsidRPr="006277D4">
              <w:t>16-03-2023</w:t>
            </w:r>
          </w:p>
        </w:tc>
        <w:tc>
          <w:tcPr>
            <w:tcW w:w="3855" w:type="dxa"/>
            <w:shd w:val="clear" w:color="auto" w:fill="auto"/>
          </w:tcPr>
          <w:p w14:paraId="20F8AC81" w14:textId="44D1BBD4" w:rsidR="00EF28FE" w:rsidRPr="00A54569" w:rsidRDefault="00EF28FE" w:rsidP="00EF28FE">
            <w:pPr>
              <w:adjustRightInd w:val="0"/>
              <w:snapToGrid w:val="0"/>
              <w:jc w:val="left"/>
            </w:pPr>
            <w:r w:rsidRPr="007C3E40">
              <w:t>106.040001</w:t>
            </w:r>
          </w:p>
        </w:tc>
      </w:tr>
    </w:tbl>
    <w:p w14:paraId="07C2B147" w14:textId="77777777" w:rsidR="00EF28FE" w:rsidRPr="00061B1E" w:rsidRDefault="00EF28FE" w:rsidP="00EF28FE">
      <w:pPr>
        <w:pStyle w:val="MDPI31text"/>
        <w:ind w:left="2968" w:firstLine="0"/>
        <w:rPr>
          <w:iCs/>
        </w:rPr>
      </w:pPr>
    </w:p>
    <w:p w14:paraId="5317A6F7" w14:textId="4CE95BC8" w:rsidR="00EF28FE" w:rsidRDefault="00EF28FE" w:rsidP="00EF28FE">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lastRenderedPageBreak/>
        <w:t xml:space="preserve">The </w:t>
      </w:r>
      <w:r>
        <w:rPr>
          <w:rFonts w:eastAsia="Times New Roman"/>
          <w:iCs/>
          <w:noProof w:val="0"/>
          <w:snapToGrid w:val="0"/>
          <w:szCs w:val="22"/>
          <w:lang w:eastAsia="de-DE" w:bidi="en-US"/>
        </w:rPr>
        <w:t xml:space="preserve">complete dataset is made available at </w:t>
      </w:r>
      <w:hyperlink r:id="rId17" w:history="1">
        <w:r w:rsidRPr="007E15D1">
          <w:rPr>
            <w:rStyle w:val="Hyperlink"/>
            <w:rFonts w:eastAsia="Times New Roman"/>
            <w:iCs/>
            <w:noProof w:val="0"/>
            <w:snapToGrid w:val="0"/>
            <w:szCs w:val="22"/>
            <w:lang w:eastAsia="de-DE" w:bidi="en-US"/>
          </w:rPr>
          <w:t>https://github.com/Anurag-Dutta/SVB/blob/main/open.csv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Opening Stock Price Column. Table 4. shows the digit wise frequency of the same. </w:t>
      </w:r>
    </w:p>
    <w:p w14:paraId="4D6D3815" w14:textId="77777777" w:rsidR="00EF28FE" w:rsidRDefault="00EF28FE" w:rsidP="00EF28FE">
      <w:pPr>
        <w:pStyle w:val="ListParagraph"/>
        <w:spacing w:line="0" w:lineRule="atLeast"/>
        <w:ind w:left="2552"/>
        <w:rPr>
          <w:rFonts w:eastAsia="Times New Roman"/>
          <w:iCs/>
          <w:noProof w:val="0"/>
          <w:snapToGrid w:val="0"/>
          <w:szCs w:val="22"/>
          <w:lang w:eastAsia="de-DE" w:bidi="en-US"/>
        </w:rPr>
      </w:pPr>
    </w:p>
    <w:p w14:paraId="720D5C1C" w14:textId="77777777"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4</w:t>
      </w:r>
      <w:r w:rsidRPr="002C410F">
        <w:rPr>
          <w:b/>
          <w:sz w:val="18"/>
          <w:szCs w:val="18"/>
        </w:rPr>
        <w:t xml:space="preserve">. </w:t>
      </w:r>
      <w:r w:rsidRPr="00E5735B">
        <w:rPr>
          <w:bCs/>
          <w:sz w:val="18"/>
          <w:szCs w:val="18"/>
        </w:rPr>
        <w:t>Digit – wise frequency for 1’st Digit place</w:t>
      </w:r>
      <w:r>
        <w:rPr>
          <w:bCs/>
          <w:sz w:val="18"/>
          <w:szCs w:val="18"/>
        </w:rPr>
        <w:t xml:space="preserve"> for the Stock Opening Price. </w:t>
      </w:r>
    </w:p>
    <w:p w14:paraId="0593A040"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215E288C" w14:textId="77777777" w:rsidTr="009D2915">
        <w:tc>
          <w:tcPr>
            <w:tcW w:w="3855" w:type="dxa"/>
            <w:tcBorders>
              <w:bottom w:val="single" w:sz="4" w:space="0" w:color="auto"/>
            </w:tcBorders>
            <w:shd w:val="clear" w:color="auto" w:fill="auto"/>
          </w:tcPr>
          <w:p w14:paraId="0B777751" w14:textId="77777777" w:rsidR="00EF28FE" w:rsidRPr="008721B1" w:rsidRDefault="00EF28FE" w:rsidP="009D2915">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01291D85" w14:textId="77777777" w:rsidR="00EF28FE" w:rsidRPr="008721B1" w:rsidRDefault="00EF28FE" w:rsidP="009D2915">
            <w:pPr>
              <w:adjustRightInd w:val="0"/>
              <w:snapToGrid w:val="0"/>
              <w:jc w:val="left"/>
              <w:rPr>
                <w:b/>
                <w:bCs/>
                <w:noProof w:val="0"/>
              </w:rPr>
            </w:pPr>
            <w:r>
              <w:rPr>
                <w:b/>
                <w:bCs/>
              </w:rPr>
              <w:t>Frequency</w:t>
            </w:r>
          </w:p>
        </w:tc>
      </w:tr>
      <w:tr w:rsidR="00EF28FE" w:rsidRPr="0049029D" w14:paraId="768B7FA1" w14:textId="77777777" w:rsidTr="009D2915">
        <w:tc>
          <w:tcPr>
            <w:tcW w:w="3855" w:type="dxa"/>
            <w:shd w:val="clear" w:color="auto" w:fill="auto"/>
          </w:tcPr>
          <w:p w14:paraId="3446434D" w14:textId="55C7A3D5" w:rsidR="00EF28FE" w:rsidRPr="0049029D" w:rsidRDefault="00EF28FE" w:rsidP="00EF28FE">
            <w:pPr>
              <w:adjustRightInd w:val="0"/>
              <w:snapToGrid w:val="0"/>
              <w:jc w:val="left"/>
              <w:rPr>
                <w:noProof w:val="0"/>
              </w:rPr>
            </w:pPr>
            <w:r w:rsidRPr="00815482">
              <w:t>1</w:t>
            </w:r>
          </w:p>
        </w:tc>
        <w:tc>
          <w:tcPr>
            <w:tcW w:w="3855" w:type="dxa"/>
            <w:shd w:val="clear" w:color="auto" w:fill="auto"/>
          </w:tcPr>
          <w:p w14:paraId="0690A80C" w14:textId="7C5BC31A" w:rsidR="00EF28FE" w:rsidRPr="0049029D" w:rsidRDefault="00EF28FE" w:rsidP="00EF28FE">
            <w:pPr>
              <w:adjustRightInd w:val="0"/>
              <w:snapToGrid w:val="0"/>
              <w:jc w:val="left"/>
              <w:rPr>
                <w:noProof w:val="0"/>
              </w:rPr>
            </w:pPr>
            <w:r w:rsidRPr="00815482">
              <w:t>2031</w:t>
            </w:r>
          </w:p>
        </w:tc>
      </w:tr>
      <w:tr w:rsidR="00EF28FE" w:rsidRPr="0049029D" w14:paraId="7D481461" w14:textId="77777777" w:rsidTr="009D2915">
        <w:tc>
          <w:tcPr>
            <w:tcW w:w="3855" w:type="dxa"/>
            <w:shd w:val="clear" w:color="auto" w:fill="auto"/>
          </w:tcPr>
          <w:p w14:paraId="60AC2C93" w14:textId="5418C927" w:rsidR="00EF28FE" w:rsidRPr="0049029D" w:rsidRDefault="00EF28FE" w:rsidP="00EF28FE">
            <w:pPr>
              <w:adjustRightInd w:val="0"/>
              <w:snapToGrid w:val="0"/>
              <w:jc w:val="left"/>
              <w:rPr>
                <w:noProof w:val="0"/>
              </w:rPr>
            </w:pPr>
            <w:r w:rsidRPr="00815482">
              <w:t>2</w:t>
            </w:r>
          </w:p>
        </w:tc>
        <w:tc>
          <w:tcPr>
            <w:tcW w:w="3855" w:type="dxa"/>
            <w:shd w:val="clear" w:color="auto" w:fill="auto"/>
          </w:tcPr>
          <w:p w14:paraId="4836E6FB" w14:textId="061B0B7E" w:rsidR="00EF28FE" w:rsidRPr="0049029D" w:rsidRDefault="00EF28FE" w:rsidP="00EF28FE">
            <w:pPr>
              <w:adjustRightInd w:val="0"/>
              <w:snapToGrid w:val="0"/>
              <w:jc w:val="left"/>
              <w:rPr>
                <w:noProof w:val="0"/>
              </w:rPr>
            </w:pPr>
            <w:r w:rsidRPr="00815482">
              <w:t>2231</w:t>
            </w:r>
          </w:p>
        </w:tc>
      </w:tr>
      <w:tr w:rsidR="00EF28FE" w:rsidRPr="0049029D" w14:paraId="1C931E28" w14:textId="77777777" w:rsidTr="009D2915">
        <w:tc>
          <w:tcPr>
            <w:tcW w:w="3855" w:type="dxa"/>
            <w:shd w:val="clear" w:color="auto" w:fill="auto"/>
          </w:tcPr>
          <w:p w14:paraId="5142CE57" w14:textId="1C3096A0" w:rsidR="00EF28FE" w:rsidRPr="0049029D" w:rsidRDefault="00EF28FE" w:rsidP="00EF28FE">
            <w:pPr>
              <w:adjustRightInd w:val="0"/>
              <w:snapToGrid w:val="0"/>
              <w:jc w:val="left"/>
              <w:rPr>
                <w:noProof w:val="0"/>
              </w:rPr>
            </w:pPr>
            <w:r w:rsidRPr="00815482">
              <w:t>3</w:t>
            </w:r>
          </w:p>
        </w:tc>
        <w:tc>
          <w:tcPr>
            <w:tcW w:w="3855" w:type="dxa"/>
            <w:shd w:val="clear" w:color="auto" w:fill="auto"/>
          </w:tcPr>
          <w:p w14:paraId="0AF2B840" w14:textId="544AA1A4" w:rsidR="00EF28FE" w:rsidRPr="0049029D" w:rsidRDefault="00EF28FE" w:rsidP="00EF28FE">
            <w:pPr>
              <w:adjustRightInd w:val="0"/>
              <w:snapToGrid w:val="0"/>
              <w:jc w:val="left"/>
              <w:rPr>
                <w:noProof w:val="0"/>
              </w:rPr>
            </w:pPr>
            <w:r w:rsidRPr="00815482">
              <w:t>1152</w:t>
            </w:r>
          </w:p>
        </w:tc>
      </w:tr>
      <w:tr w:rsidR="00EF28FE" w:rsidRPr="0049029D" w14:paraId="664D1CDD" w14:textId="77777777" w:rsidTr="009D2915">
        <w:tc>
          <w:tcPr>
            <w:tcW w:w="3855" w:type="dxa"/>
            <w:shd w:val="clear" w:color="auto" w:fill="auto"/>
          </w:tcPr>
          <w:p w14:paraId="52F8B321" w14:textId="6F529A45" w:rsidR="00EF28FE" w:rsidRPr="00DE29B0" w:rsidRDefault="00EF28FE" w:rsidP="00EF28FE">
            <w:pPr>
              <w:adjustRightInd w:val="0"/>
              <w:snapToGrid w:val="0"/>
              <w:jc w:val="left"/>
            </w:pPr>
            <w:r w:rsidRPr="00815482">
              <w:t>4</w:t>
            </w:r>
          </w:p>
        </w:tc>
        <w:tc>
          <w:tcPr>
            <w:tcW w:w="3855" w:type="dxa"/>
            <w:shd w:val="clear" w:color="auto" w:fill="auto"/>
          </w:tcPr>
          <w:p w14:paraId="29FCE796" w14:textId="30486D93" w:rsidR="00EF28FE" w:rsidRPr="00DE29B0" w:rsidRDefault="00EF28FE" w:rsidP="00EF28FE">
            <w:pPr>
              <w:adjustRightInd w:val="0"/>
              <w:snapToGrid w:val="0"/>
              <w:jc w:val="left"/>
            </w:pPr>
            <w:r w:rsidRPr="00815482">
              <w:t>1318</w:t>
            </w:r>
          </w:p>
        </w:tc>
      </w:tr>
      <w:tr w:rsidR="00EF28FE" w:rsidRPr="0049029D" w14:paraId="7118C2FC" w14:textId="77777777" w:rsidTr="009D2915">
        <w:tc>
          <w:tcPr>
            <w:tcW w:w="3855" w:type="dxa"/>
            <w:shd w:val="clear" w:color="auto" w:fill="auto"/>
          </w:tcPr>
          <w:p w14:paraId="37592D0B" w14:textId="5698A40D" w:rsidR="00EF28FE" w:rsidRPr="00D21F27" w:rsidRDefault="00EF28FE" w:rsidP="00EF28FE">
            <w:pPr>
              <w:adjustRightInd w:val="0"/>
              <w:snapToGrid w:val="0"/>
              <w:jc w:val="left"/>
            </w:pPr>
            <w:r w:rsidRPr="00815482">
              <w:t>5</w:t>
            </w:r>
          </w:p>
        </w:tc>
        <w:tc>
          <w:tcPr>
            <w:tcW w:w="3855" w:type="dxa"/>
            <w:shd w:val="clear" w:color="auto" w:fill="auto"/>
          </w:tcPr>
          <w:p w14:paraId="7321C1E7" w14:textId="2D891C8C" w:rsidR="00EF28FE" w:rsidRPr="00A54569" w:rsidRDefault="00EF28FE" w:rsidP="00EF28FE">
            <w:pPr>
              <w:adjustRightInd w:val="0"/>
              <w:snapToGrid w:val="0"/>
              <w:jc w:val="left"/>
            </w:pPr>
            <w:r w:rsidRPr="00815482">
              <w:t>1032</w:t>
            </w:r>
          </w:p>
        </w:tc>
      </w:tr>
      <w:tr w:rsidR="00EF28FE" w:rsidRPr="0049029D" w14:paraId="66B5E05D" w14:textId="77777777" w:rsidTr="009D2915">
        <w:tc>
          <w:tcPr>
            <w:tcW w:w="3855" w:type="dxa"/>
            <w:shd w:val="clear" w:color="auto" w:fill="auto"/>
          </w:tcPr>
          <w:p w14:paraId="5DFD385A" w14:textId="55547D37" w:rsidR="00EF28FE" w:rsidRPr="00D21F27" w:rsidRDefault="00EF28FE" w:rsidP="00EF28FE">
            <w:pPr>
              <w:adjustRightInd w:val="0"/>
              <w:snapToGrid w:val="0"/>
              <w:jc w:val="left"/>
            </w:pPr>
            <w:r w:rsidRPr="00815482">
              <w:t>6</w:t>
            </w:r>
          </w:p>
        </w:tc>
        <w:tc>
          <w:tcPr>
            <w:tcW w:w="3855" w:type="dxa"/>
            <w:shd w:val="clear" w:color="auto" w:fill="auto"/>
          </w:tcPr>
          <w:p w14:paraId="5667C9CF" w14:textId="357A3C20" w:rsidR="00EF28FE" w:rsidRPr="00A54569" w:rsidRDefault="00EF28FE" w:rsidP="00EF28FE">
            <w:pPr>
              <w:adjustRightInd w:val="0"/>
              <w:snapToGrid w:val="0"/>
              <w:jc w:val="left"/>
            </w:pPr>
            <w:r w:rsidRPr="00815482">
              <w:t>375</w:t>
            </w:r>
          </w:p>
        </w:tc>
      </w:tr>
      <w:tr w:rsidR="00EF28FE" w:rsidRPr="0049029D" w14:paraId="3C8525DC" w14:textId="77777777" w:rsidTr="009D2915">
        <w:tc>
          <w:tcPr>
            <w:tcW w:w="3855" w:type="dxa"/>
            <w:shd w:val="clear" w:color="auto" w:fill="auto"/>
          </w:tcPr>
          <w:p w14:paraId="6A6D4BA4" w14:textId="0D2E20B6" w:rsidR="00EF28FE" w:rsidRPr="00D21F27" w:rsidRDefault="00EF28FE" w:rsidP="00EF28FE">
            <w:pPr>
              <w:adjustRightInd w:val="0"/>
              <w:snapToGrid w:val="0"/>
              <w:jc w:val="left"/>
            </w:pPr>
            <w:r w:rsidRPr="00815482">
              <w:t>7</w:t>
            </w:r>
          </w:p>
        </w:tc>
        <w:tc>
          <w:tcPr>
            <w:tcW w:w="3855" w:type="dxa"/>
            <w:shd w:val="clear" w:color="auto" w:fill="auto"/>
          </w:tcPr>
          <w:p w14:paraId="7DFBB614" w14:textId="2C4B66DA" w:rsidR="00EF28FE" w:rsidRPr="00A54569" w:rsidRDefault="00EF28FE" w:rsidP="00EF28FE">
            <w:pPr>
              <w:adjustRightInd w:val="0"/>
              <w:snapToGrid w:val="0"/>
              <w:jc w:val="left"/>
            </w:pPr>
            <w:r w:rsidRPr="00815482">
              <w:t>183</w:t>
            </w:r>
          </w:p>
        </w:tc>
      </w:tr>
      <w:tr w:rsidR="00EF28FE" w:rsidRPr="0049029D" w14:paraId="4D5E0F8B" w14:textId="77777777" w:rsidTr="009D2915">
        <w:tc>
          <w:tcPr>
            <w:tcW w:w="3855" w:type="dxa"/>
            <w:shd w:val="clear" w:color="auto" w:fill="auto"/>
          </w:tcPr>
          <w:p w14:paraId="5B0A47DB" w14:textId="463B846F" w:rsidR="00EF28FE" w:rsidRPr="00D21F27" w:rsidRDefault="00EF28FE" w:rsidP="00EF28FE">
            <w:pPr>
              <w:adjustRightInd w:val="0"/>
              <w:snapToGrid w:val="0"/>
              <w:jc w:val="left"/>
            </w:pPr>
            <w:r w:rsidRPr="00815482">
              <w:t>8</w:t>
            </w:r>
          </w:p>
        </w:tc>
        <w:tc>
          <w:tcPr>
            <w:tcW w:w="3855" w:type="dxa"/>
            <w:shd w:val="clear" w:color="auto" w:fill="auto"/>
          </w:tcPr>
          <w:p w14:paraId="34737BB8" w14:textId="686255C7" w:rsidR="00EF28FE" w:rsidRPr="00A54569" w:rsidRDefault="00EF28FE" w:rsidP="00EF28FE">
            <w:pPr>
              <w:adjustRightInd w:val="0"/>
              <w:snapToGrid w:val="0"/>
              <w:jc w:val="left"/>
            </w:pPr>
            <w:r w:rsidRPr="00815482">
              <w:t>196</w:t>
            </w:r>
          </w:p>
        </w:tc>
      </w:tr>
      <w:tr w:rsidR="00EF28FE" w:rsidRPr="0049029D" w14:paraId="4D96BD2B" w14:textId="77777777" w:rsidTr="009D2915">
        <w:tc>
          <w:tcPr>
            <w:tcW w:w="3855" w:type="dxa"/>
            <w:shd w:val="clear" w:color="auto" w:fill="auto"/>
          </w:tcPr>
          <w:p w14:paraId="2C872F33" w14:textId="4C713096" w:rsidR="00EF28FE" w:rsidRPr="00D21F27" w:rsidRDefault="00EF28FE" w:rsidP="00EF28FE">
            <w:pPr>
              <w:adjustRightInd w:val="0"/>
              <w:snapToGrid w:val="0"/>
              <w:jc w:val="left"/>
            </w:pPr>
            <w:r w:rsidRPr="00815482">
              <w:t>9</w:t>
            </w:r>
          </w:p>
        </w:tc>
        <w:tc>
          <w:tcPr>
            <w:tcW w:w="3855" w:type="dxa"/>
            <w:shd w:val="clear" w:color="auto" w:fill="auto"/>
          </w:tcPr>
          <w:p w14:paraId="592A79FD" w14:textId="1B3FBC58" w:rsidR="00EF28FE" w:rsidRPr="00A54569" w:rsidRDefault="00EF28FE" w:rsidP="00EF28FE">
            <w:pPr>
              <w:adjustRightInd w:val="0"/>
              <w:snapToGrid w:val="0"/>
              <w:jc w:val="left"/>
            </w:pPr>
            <w:r w:rsidRPr="00815482">
              <w:t>268</w:t>
            </w:r>
          </w:p>
        </w:tc>
      </w:tr>
    </w:tbl>
    <w:p w14:paraId="2AE407CB" w14:textId="77777777" w:rsidR="00EF28FE" w:rsidRDefault="00EF28FE" w:rsidP="00EF28FE">
      <w:pPr>
        <w:pStyle w:val="ListParagraph"/>
        <w:spacing w:line="0" w:lineRule="atLeast"/>
        <w:ind w:left="2552"/>
        <w:rPr>
          <w:rFonts w:eastAsiaTheme="minorEastAsia"/>
          <w:shd w:val="clear" w:color="auto" w:fill="FFFFFF"/>
        </w:rPr>
      </w:pPr>
    </w:p>
    <w:p w14:paraId="090BC32D" w14:textId="77777777" w:rsidR="00EF28FE" w:rsidRPr="00E5735B" w:rsidRDefault="00EF28FE" w:rsidP="00EF28FE">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234B5351" w14:textId="64CA1021" w:rsidR="00EF28FE" w:rsidRPr="00E5735B" w:rsidRDefault="00000000" w:rsidP="00EF28FE">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=8786</m:t>
          </m:r>
        </m:oMath>
      </m:oMathPara>
    </w:p>
    <w:p w14:paraId="1BC80639" w14:textId="77777777" w:rsidR="00EF28FE" w:rsidRDefault="00EF28FE" w:rsidP="00EF28FE">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63A36A3C" w14:textId="587AD8BB" w:rsidR="00EF28FE" w:rsidRDefault="00EF28FE" w:rsidP="00EF28FE">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8786</m:t>
              </m:r>
            </m:den>
          </m:f>
        </m:oMath>
      </m:oMathPara>
    </w:p>
    <w:p w14:paraId="0F2F5C1D" w14:textId="77777777" w:rsidR="00EF28FE" w:rsidRPr="00027999" w:rsidRDefault="00EF28FE" w:rsidP="00EF28FE">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probabilities have been demonstrated on the Table 1. </w:t>
      </w:r>
      <w:r>
        <w:t>Figure 2 contrasts the same.</w:t>
      </w:r>
    </w:p>
    <w:p w14:paraId="26ED6F9F" w14:textId="77777777" w:rsidR="00EF28FE" w:rsidRDefault="00EF28FE" w:rsidP="00EF28FE">
      <w:pPr>
        <w:adjustRightInd w:val="0"/>
        <w:snapToGrid w:val="0"/>
        <w:jc w:val="center"/>
        <w:rPr>
          <w:noProof w:val="0"/>
        </w:rPr>
      </w:pPr>
      <w:r w:rsidRPr="0049029D">
        <w:drawing>
          <wp:inline distT="0" distB="0" distL="0" distR="0" wp14:anchorId="2B3031B3" wp14:editId="20692F9B">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tretch>
                      <a:fillRect/>
                    </a:stretch>
                  </pic:blipFill>
                  <pic:spPr>
                    <a:xfrm>
                      <a:off x="0" y="0"/>
                      <a:ext cx="3744000" cy="2808000"/>
                    </a:xfrm>
                    <a:prstGeom prst="rect">
                      <a:avLst/>
                    </a:prstGeom>
                  </pic:spPr>
                </pic:pic>
              </a:graphicData>
            </a:graphic>
          </wp:inline>
        </w:drawing>
      </w:r>
    </w:p>
    <w:p w14:paraId="7DDFEB3E" w14:textId="0C850E99" w:rsidR="00EF28FE" w:rsidRDefault="00EF28FE" w:rsidP="00EF28FE">
      <w:pPr>
        <w:pStyle w:val="MDPI51figurecaption"/>
        <w:jc w:val="both"/>
      </w:pPr>
      <w:r w:rsidRPr="0049029D">
        <w:rPr>
          <w:b/>
        </w:rPr>
        <w:t xml:space="preserve">Figure </w:t>
      </w:r>
      <w:r>
        <w:rPr>
          <w:b/>
        </w:rPr>
        <w:t>2</w:t>
      </w:r>
      <w:r w:rsidRPr="0049029D">
        <w:rPr>
          <w:b/>
        </w:rPr>
        <w:t xml:space="preserve">. </w:t>
      </w:r>
      <w:r>
        <w:t xml:space="preserve">Contrast between Actual and Theoretical Probabilities taking into consideration, Opening Price of the </w:t>
      </w:r>
      <w:bookmarkStart w:id="0" w:name="_Hlk131190015"/>
      <w:r>
        <w:t>Silicon Valley Bank</w:t>
      </w:r>
      <w:r w:rsidR="00167387">
        <w:t xml:space="preserve"> Stocks</w:t>
      </w:r>
      <w:bookmarkEnd w:id="0"/>
    </w:p>
    <w:p w14:paraId="1250AA7A" w14:textId="77777777" w:rsidR="00EF28FE" w:rsidRPr="008C5901" w:rsidRDefault="00EF28FE" w:rsidP="00EF28FE">
      <w:pPr>
        <w:pStyle w:val="MDPI51figurecaption"/>
        <w:jc w:val="both"/>
        <w:rPr>
          <w:bCs/>
          <w:sz w:val="20"/>
        </w:rPr>
      </w:pPr>
      <w:r w:rsidRPr="008C5901">
        <w:rPr>
          <w:bCs/>
          <w:sz w:val="20"/>
        </w:rPr>
        <w:t>The</w:t>
      </w:r>
      <w:r>
        <w:rPr>
          <w:bCs/>
          <w:sz w:val="20"/>
        </w:rPr>
        <w:t xml:space="preserve"> mean squared error, </w:t>
      </w:r>
    </w:p>
    <w:p w14:paraId="3BA8D506" w14:textId="77777777" w:rsidR="00EF28FE" w:rsidRPr="008C5901" w:rsidRDefault="00000000" w:rsidP="00EF28FE">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570124B0" w14:textId="04E04B23" w:rsidR="00EF28FE" w:rsidRDefault="00EF28FE" w:rsidP="00EF28FE">
      <w:pPr>
        <w:pStyle w:val="MDPI51figurecaption"/>
        <w:jc w:val="both"/>
        <w:rPr>
          <w:rFonts w:eastAsiaTheme="minorEastAsia"/>
          <w:bCs/>
          <w:noProof/>
          <w:sz w:val="20"/>
        </w:rPr>
      </w:pPr>
      <w:r>
        <w:rPr>
          <w:rFonts w:eastAsiaTheme="minorEastAsia"/>
          <w:bCs/>
          <w:noProof/>
          <w:sz w:val="20"/>
        </w:rPr>
        <w:t xml:space="preserve">turns out to be </w:t>
      </w:r>
      <w:r w:rsidR="007F377A" w:rsidRPr="007F377A">
        <w:rPr>
          <w:rFonts w:eastAsiaTheme="minorEastAsia"/>
          <w:bCs/>
          <w:noProof/>
          <w:sz w:val="20"/>
        </w:rPr>
        <w:t>0.67412459</w:t>
      </w:r>
      <w:r>
        <w:rPr>
          <w:rFonts w:eastAsiaTheme="minorEastAsia"/>
          <w:bCs/>
          <w:noProof/>
          <w:sz w:val="20"/>
        </w:rPr>
        <w:t xml:space="preserve">, which is </w:t>
      </w:r>
      <w:r w:rsidR="007F377A">
        <w:rPr>
          <w:rFonts w:eastAsiaTheme="minorEastAsia"/>
          <w:bCs/>
          <w:noProof/>
          <w:sz w:val="20"/>
        </w:rPr>
        <w:t xml:space="preserve">not </w:t>
      </w:r>
      <w:r>
        <w:rPr>
          <w:rFonts w:eastAsiaTheme="minorEastAsia"/>
          <w:bCs/>
          <w:noProof/>
          <w:sz w:val="20"/>
        </w:rPr>
        <w:t>in acceptable ranges.</w:t>
      </w:r>
    </w:p>
    <w:p w14:paraId="044E580C" w14:textId="0A3F6A5F" w:rsidR="008F03BB" w:rsidRDefault="008F03BB" w:rsidP="00EF28FE">
      <w:pPr>
        <w:pStyle w:val="MDPI51figurecaption"/>
        <w:jc w:val="both"/>
        <w:rPr>
          <w:rFonts w:eastAsiaTheme="minorEastAsia"/>
          <w:bCs/>
          <w:noProof/>
          <w:sz w:val="20"/>
        </w:rPr>
      </w:pPr>
      <w:r>
        <w:rPr>
          <w:rFonts w:eastAsiaTheme="minorEastAsia"/>
          <w:bCs/>
          <w:noProof/>
          <w:sz w:val="20"/>
        </w:rPr>
        <w:lastRenderedPageBreak/>
        <w:t xml:space="preserve">Figure 3 shows the contrast of the same formulating the Zipf’s Law. </w:t>
      </w:r>
    </w:p>
    <w:p w14:paraId="5EC4BDED" w14:textId="4FC38A32" w:rsidR="008F03BB" w:rsidRDefault="00282DDC" w:rsidP="00EF28FE">
      <w:pPr>
        <w:pStyle w:val="MDPI51figurecaption"/>
        <w:jc w:val="both"/>
        <w:rPr>
          <w:rFonts w:eastAsiaTheme="minorEastAsia"/>
          <w:bCs/>
          <w:noProof/>
          <w:sz w:val="20"/>
        </w:rPr>
      </w:pPr>
      <w:r w:rsidRPr="0049029D">
        <w:drawing>
          <wp:inline distT="0" distB="0" distL="0" distR="0" wp14:anchorId="1B997C54" wp14:editId="72706C8F">
            <wp:extent cx="3744000" cy="2808000"/>
            <wp:effectExtent l="0" t="0" r="8890" b="0"/>
            <wp:docPr id="1447291563" name="Picture 144729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563" name="Picture 1447291563"/>
                    <pic:cNvPicPr/>
                  </pic:nvPicPr>
                  <pic:blipFill>
                    <a:blip r:embed="rId19"/>
                    <a:stretch>
                      <a:fillRect/>
                    </a:stretch>
                  </pic:blipFill>
                  <pic:spPr>
                    <a:xfrm>
                      <a:off x="0" y="0"/>
                      <a:ext cx="3744000" cy="2808000"/>
                    </a:xfrm>
                    <a:prstGeom prst="rect">
                      <a:avLst/>
                    </a:prstGeom>
                  </pic:spPr>
                </pic:pic>
              </a:graphicData>
            </a:graphic>
          </wp:inline>
        </w:drawing>
      </w:r>
    </w:p>
    <w:p w14:paraId="148A96B9" w14:textId="6BB3FD74" w:rsidR="00282DDC" w:rsidRDefault="00282DDC" w:rsidP="00282DDC">
      <w:pPr>
        <w:pStyle w:val="MDPI51figurecaption"/>
        <w:jc w:val="both"/>
      </w:pPr>
      <w:r w:rsidRPr="0049029D">
        <w:rPr>
          <w:b/>
        </w:rPr>
        <w:t xml:space="preserve">Figure </w:t>
      </w:r>
      <w:r>
        <w:rPr>
          <w:b/>
        </w:rPr>
        <w:t>3</w:t>
      </w:r>
      <w:r w:rsidRPr="0049029D">
        <w:rPr>
          <w:b/>
        </w:rPr>
        <w:t xml:space="preserve">. </w:t>
      </w:r>
      <w:r>
        <w:t>Contrast between Actual and Theoretical Probabilities taking into consideration, Daily</w:t>
      </w:r>
      <w:r>
        <w:t xml:space="preserve"> </w:t>
      </w:r>
      <w:r>
        <w:t>Opening Price of the Silicon Valley Bank Stocks</w:t>
      </w:r>
      <w:r>
        <w:t xml:space="preserve"> as per the Zipfian Distribution.</w:t>
      </w:r>
    </w:p>
    <w:p w14:paraId="4DA4FB14" w14:textId="6F8F3018" w:rsidR="00124D69" w:rsidRPr="00124D69" w:rsidRDefault="00124D69" w:rsidP="00282DDC">
      <w:pPr>
        <w:pStyle w:val="MDPI51figurecaption"/>
        <w:jc w:val="both"/>
        <w:rPr>
          <w:bCs/>
          <w:sz w:val="20"/>
          <w:szCs w:val="22"/>
        </w:rPr>
      </w:pPr>
      <w:r w:rsidRPr="00124D69">
        <w:rPr>
          <w:bCs/>
          <w:sz w:val="20"/>
          <w:szCs w:val="22"/>
        </w:rPr>
        <w:t xml:space="preserve">Here, </w:t>
      </w:r>
      <w:r>
        <w:rPr>
          <w:bCs/>
          <w:sz w:val="20"/>
          <w:szCs w:val="22"/>
        </w:rPr>
        <w:t xml:space="preserve">the mean squared error turns out to be </w:t>
      </w:r>
      <w:r w:rsidRPr="00124D69">
        <w:rPr>
          <w:bCs/>
          <w:sz w:val="20"/>
          <w:szCs w:val="22"/>
        </w:rPr>
        <w:t>0.025711589605446287</w:t>
      </w:r>
      <w:r>
        <w:rPr>
          <w:bCs/>
          <w:sz w:val="20"/>
          <w:szCs w:val="22"/>
        </w:rPr>
        <w:t>, which is again a way behind than the permissible range.</w:t>
      </w:r>
    </w:p>
    <w:p w14:paraId="61E96826" w14:textId="212A8B5C" w:rsidR="00EF28FE" w:rsidRPr="002C410F" w:rsidRDefault="00EF28FE" w:rsidP="00EF28FE">
      <w:pPr>
        <w:pStyle w:val="MDPI21heading1"/>
        <w:numPr>
          <w:ilvl w:val="1"/>
          <w:numId w:val="42"/>
        </w:numPr>
        <w:rPr>
          <w:b w:val="0"/>
          <w:bCs/>
          <w:i/>
          <w:iCs/>
        </w:rPr>
      </w:pPr>
      <w:r>
        <w:rPr>
          <w:b w:val="0"/>
          <w:bCs/>
          <w:i/>
          <w:iCs/>
        </w:rPr>
        <w:t xml:space="preserve">The </w:t>
      </w:r>
      <w:r w:rsidR="007F377A">
        <w:rPr>
          <w:b w:val="0"/>
          <w:bCs/>
          <w:i/>
          <w:iCs/>
        </w:rPr>
        <w:t>SVB</w:t>
      </w:r>
      <w:r>
        <w:rPr>
          <w:b w:val="0"/>
          <w:bCs/>
          <w:i/>
          <w:iCs/>
        </w:rPr>
        <w:t xml:space="preserve"> Stock Price Closing Value</w:t>
      </w:r>
    </w:p>
    <w:p w14:paraId="524D6F71" w14:textId="44C403AA" w:rsidR="00EF28FE" w:rsidRDefault="00EF28FE" w:rsidP="00EF28FE">
      <w:pPr>
        <w:pStyle w:val="ListParagraph"/>
        <w:spacing w:line="0" w:lineRule="atLeast"/>
        <w:ind w:left="2552"/>
        <w:rPr>
          <w:b/>
          <w:sz w:val="18"/>
          <w:szCs w:val="18"/>
        </w:rPr>
      </w:pPr>
      <w:r w:rsidRPr="003E6091">
        <w:rPr>
          <w:rFonts w:eastAsiaTheme="minorEastAsia"/>
          <w:bCs/>
          <w:iCs/>
          <w:shd w:val="clear" w:color="auto" w:fill="FFFFFF"/>
        </w:rPr>
        <w:t>The final transaction price of a securities well before exchange formally shuts for regular trading is known as the closing price or cash value.</w:t>
      </w:r>
      <w:r>
        <w:rPr>
          <w:rFonts w:eastAsiaTheme="minorEastAsia"/>
          <w:bCs/>
          <w:iCs/>
          <w:shd w:val="clear" w:color="auto" w:fill="FFFFFF"/>
        </w:rPr>
        <w:t xml:space="preserve"> </w:t>
      </w:r>
      <w:r w:rsidRPr="00C200AE">
        <w:rPr>
          <w:rFonts w:eastAsiaTheme="minorEastAsia"/>
          <w:bCs/>
          <w:iCs/>
          <w:shd w:val="clear" w:color="auto" w:fill="FFFFFF"/>
        </w:rPr>
        <w:t xml:space="preserve">Table </w:t>
      </w:r>
      <w:r>
        <w:rPr>
          <w:rFonts w:eastAsiaTheme="minorEastAsia"/>
          <w:bCs/>
          <w:iCs/>
          <w:shd w:val="clear" w:color="auto" w:fill="FFFFFF"/>
        </w:rPr>
        <w:t>5</w:t>
      </w:r>
      <w:r w:rsidRPr="00C200AE">
        <w:rPr>
          <w:rFonts w:eastAsiaTheme="minorEastAsia"/>
          <w:bCs/>
          <w:iCs/>
          <w:shd w:val="clear" w:color="auto" w:fill="FFFFFF"/>
        </w:rPr>
        <w:t xml:space="preserve"> shows a few instances of the Stock </w:t>
      </w:r>
      <w:r>
        <w:rPr>
          <w:rFonts w:eastAsiaTheme="minorEastAsia"/>
          <w:bCs/>
          <w:iCs/>
          <w:shd w:val="clear" w:color="auto" w:fill="FFFFFF"/>
        </w:rPr>
        <w:t>Closing</w:t>
      </w:r>
      <w:r w:rsidRPr="00C200AE">
        <w:rPr>
          <w:rFonts w:eastAsiaTheme="minorEastAsia"/>
          <w:bCs/>
          <w:iCs/>
          <w:shd w:val="clear" w:color="auto" w:fill="FFFFFF"/>
        </w:rPr>
        <w:t xml:space="preserve"> Price between the time frame </w:t>
      </w:r>
      <w:r w:rsidR="007F377A">
        <w:rPr>
          <w:rFonts w:eastAsiaTheme="minorEastAsia"/>
          <w:bCs/>
          <w:iCs/>
          <w:shd w:val="clear" w:color="auto" w:fill="FFFFFF"/>
        </w:rPr>
        <w:t>1987</w:t>
      </w:r>
      <w:r w:rsidRPr="00C200AE">
        <w:rPr>
          <w:rFonts w:eastAsiaTheme="minorEastAsia"/>
          <w:bCs/>
          <w:iCs/>
          <w:shd w:val="clear" w:color="auto" w:fill="FFFFFF"/>
        </w:rPr>
        <w:t xml:space="preserve"> – 2023.</w:t>
      </w:r>
      <w:r w:rsidRPr="00136446">
        <w:rPr>
          <w:b/>
          <w:sz w:val="18"/>
          <w:szCs w:val="18"/>
        </w:rPr>
        <w:t xml:space="preserve"> </w:t>
      </w:r>
    </w:p>
    <w:p w14:paraId="7FB922A1" w14:textId="77777777" w:rsidR="00EF28FE" w:rsidRDefault="00EF28FE" w:rsidP="00EF28FE">
      <w:pPr>
        <w:pStyle w:val="ListParagraph"/>
        <w:spacing w:line="0" w:lineRule="atLeast"/>
        <w:ind w:left="2552"/>
        <w:rPr>
          <w:b/>
          <w:sz w:val="18"/>
          <w:szCs w:val="18"/>
        </w:rPr>
      </w:pPr>
    </w:p>
    <w:p w14:paraId="7C727FDB" w14:textId="06F8FFCF"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5</w:t>
      </w:r>
      <w:r w:rsidRPr="002C410F">
        <w:rPr>
          <w:b/>
          <w:sz w:val="18"/>
          <w:szCs w:val="18"/>
        </w:rPr>
        <w:t xml:space="preserve">. </w:t>
      </w:r>
      <w:r>
        <w:rPr>
          <w:bCs/>
          <w:sz w:val="18"/>
          <w:szCs w:val="18"/>
        </w:rPr>
        <w:t xml:space="preserve">Stock Closing Price for </w:t>
      </w:r>
      <w:bookmarkStart w:id="1" w:name="_Hlk131190120"/>
      <w:r w:rsidR="00167387" w:rsidRPr="00167387">
        <w:rPr>
          <w:bCs/>
          <w:sz w:val="18"/>
          <w:szCs w:val="18"/>
        </w:rPr>
        <w:t>Silicon Valley Bank</w:t>
      </w:r>
      <w:bookmarkEnd w:id="1"/>
    </w:p>
    <w:p w14:paraId="4FA0010C"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4768268E" w14:textId="77777777" w:rsidTr="009D2915">
        <w:tc>
          <w:tcPr>
            <w:tcW w:w="3855" w:type="dxa"/>
            <w:tcBorders>
              <w:bottom w:val="single" w:sz="4" w:space="0" w:color="auto"/>
            </w:tcBorders>
            <w:shd w:val="clear" w:color="auto" w:fill="auto"/>
          </w:tcPr>
          <w:p w14:paraId="48551961" w14:textId="77777777" w:rsidR="00EF28FE" w:rsidRPr="008721B1" w:rsidRDefault="00EF28FE" w:rsidP="009D2915">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03BB66EC" w14:textId="77777777" w:rsidR="00EF28FE" w:rsidRPr="008721B1" w:rsidRDefault="00EF28FE" w:rsidP="009D2915">
            <w:pPr>
              <w:adjustRightInd w:val="0"/>
              <w:snapToGrid w:val="0"/>
              <w:jc w:val="left"/>
              <w:rPr>
                <w:b/>
                <w:bCs/>
                <w:noProof w:val="0"/>
              </w:rPr>
            </w:pPr>
            <w:r>
              <w:rPr>
                <w:b/>
                <w:bCs/>
              </w:rPr>
              <w:t>Stock Opening Price (USD)</w:t>
            </w:r>
          </w:p>
        </w:tc>
      </w:tr>
      <w:tr w:rsidR="00167387" w:rsidRPr="0049029D" w14:paraId="1850BB88" w14:textId="77777777" w:rsidTr="009D2915">
        <w:tc>
          <w:tcPr>
            <w:tcW w:w="3855" w:type="dxa"/>
            <w:shd w:val="clear" w:color="auto" w:fill="auto"/>
          </w:tcPr>
          <w:p w14:paraId="019BDF9F" w14:textId="5019A080" w:rsidR="00167387" w:rsidRPr="0049029D" w:rsidRDefault="00167387" w:rsidP="00167387">
            <w:pPr>
              <w:adjustRightInd w:val="0"/>
              <w:snapToGrid w:val="0"/>
              <w:jc w:val="left"/>
              <w:rPr>
                <w:noProof w:val="0"/>
              </w:rPr>
            </w:pPr>
            <w:r w:rsidRPr="009B309E">
              <w:t>26-10-1987</w:t>
            </w:r>
          </w:p>
        </w:tc>
        <w:tc>
          <w:tcPr>
            <w:tcW w:w="3855" w:type="dxa"/>
            <w:shd w:val="clear" w:color="auto" w:fill="auto"/>
          </w:tcPr>
          <w:p w14:paraId="53DE758E" w14:textId="72CEF5A7" w:rsidR="00167387" w:rsidRPr="0049029D" w:rsidRDefault="00167387" w:rsidP="00167387">
            <w:pPr>
              <w:adjustRightInd w:val="0"/>
              <w:snapToGrid w:val="0"/>
              <w:jc w:val="left"/>
              <w:rPr>
                <w:noProof w:val="0"/>
              </w:rPr>
            </w:pPr>
            <w:r w:rsidRPr="00F64C92">
              <w:t>0.751429</w:t>
            </w:r>
          </w:p>
        </w:tc>
      </w:tr>
      <w:tr w:rsidR="00167387" w:rsidRPr="0049029D" w14:paraId="036ECD02" w14:textId="77777777" w:rsidTr="009D2915">
        <w:tc>
          <w:tcPr>
            <w:tcW w:w="3855" w:type="dxa"/>
            <w:shd w:val="clear" w:color="auto" w:fill="auto"/>
          </w:tcPr>
          <w:p w14:paraId="6C370168" w14:textId="64C9D32F" w:rsidR="00167387" w:rsidRPr="0049029D" w:rsidRDefault="00167387" w:rsidP="00167387">
            <w:pPr>
              <w:adjustRightInd w:val="0"/>
              <w:snapToGrid w:val="0"/>
              <w:jc w:val="left"/>
              <w:rPr>
                <w:noProof w:val="0"/>
              </w:rPr>
            </w:pPr>
            <w:r w:rsidRPr="009B309E">
              <w:t>27-10-1987</w:t>
            </w:r>
          </w:p>
        </w:tc>
        <w:tc>
          <w:tcPr>
            <w:tcW w:w="3855" w:type="dxa"/>
            <w:shd w:val="clear" w:color="auto" w:fill="auto"/>
          </w:tcPr>
          <w:p w14:paraId="153DEB0B" w14:textId="54AF8573" w:rsidR="00167387" w:rsidRPr="0049029D" w:rsidRDefault="00167387" w:rsidP="00167387">
            <w:pPr>
              <w:adjustRightInd w:val="0"/>
              <w:snapToGrid w:val="0"/>
              <w:jc w:val="left"/>
              <w:rPr>
                <w:noProof w:val="0"/>
              </w:rPr>
            </w:pPr>
            <w:r w:rsidRPr="00F64C92">
              <w:t>0.751429</w:t>
            </w:r>
          </w:p>
        </w:tc>
      </w:tr>
      <w:tr w:rsidR="00167387" w:rsidRPr="0049029D" w14:paraId="26DE3586" w14:textId="77777777" w:rsidTr="009D2915">
        <w:tc>
          <w:tcPr>
            <w:tcW w:w="3855" w:type="dxa"/>
            <w:shd w:val="clear" w:color="auto" w:fill="auto"/>
          </w:tcPr>
          <w:p w14:paraId="4CBB6831" w14:textId="76A78B5C" w:rsidR="00167387" w:rsidRPr="0049029D" w:rsidRDefault="00167387" w:rsidP="00167387">
            <w:pPr>
              <w:adjustRightInd w:val="0"/>
              <w:snapToGrid w:val="0"/>
              <w:jc w:val="left"/>
              <w:rPr>
                <w:noProof w:val="0"/>
              </w:rPr>
            </w:pPr>
            <w:r w:rsidRPr="009B309E">
              <w:t>28-10-1987</w:t>
            </w:r>
          </w:p>
        </w:tc>
        <w:tc>
          <w:tcPr>
            <w:tcW w:w="3855" w:type="dxa"/>
            <w:shd w:val="clear" w:color="auto" w:fill="auto"/>
          </w:tcPr>
          <w:p w14:paraId="4C990EEB" w14:textId="39E8B04E" w:rsidR="00167387" w:rsidRPr="0049029D" w:rsidRDefault="00167387" w:rsidP="00167387">
            <w:pPr>
              <w:adjustRightInd w:val="0"/>
              <w:snapToGrid w:val="0"/>
              <w:jc w:val="left"/>
              <w:rPr>
                <w:noProof w:val="0"/>
              </w:rPr>
            </w:pPr>
            <w:r w:rsidRPr="00F64C92">
              <w:t>0</w:t>
            </w:r>
          </w:p>
        </w:tc>
      </w:tr>
      <w:tr w:rsidR="00167387" w:rsidRPr="0049029D" w14:paraId="76980661" w14:textId="77777777" w:rsidTr="009D2915">
        <w:tc>
          <w:tcPr>
            <w:tcW w:w="3855" w:type="dxa"/>
            <w:shd w:val="clear" w:color="auto" w:fill="auto"/>
          </w:tcPr>
          <w:p w14:paraId="35B81B97" w14:textId="7C150890" w:rsidR="00167387" w:rsidRPr="00DE29B0" w:rsidRDefault="00167387" w:rsidP="00167387">
            <w:pPr>
              <w:adjustRightInd w:val="0"/>
              <w:snapToGrid w:val="0"/>
              <w:jc w:val="left"/>
            </w:pPr>
            <w:r w:rsidRPr="009B309E">
              <w:t>29-10-1987</w:t>
            </w:r>
          </w:p>
        </w:tc>
        <w:tc>
          <w:tcPr>
            <w:tcW w:w="3855" w:type="dxa"/>
            <w:shd w:val="clear" w:color="auto" w:fill="auto"/>
          </w:tcPr>
          <w:p w14:paraId="73073563" w14:textId="273EB77D" w:rsidR="00167387" w:rsidRPr="00DE29B0" w:rsidRDefault="00167387" w:rsidP="00167387">
            <w:pPr>
              <w:adjustRightInd w:val="0"/>
              <w:snapToGrid w:val="0"/>
              <w:jc w:val="left"/>
            </w:pPr>
            <w:r w:rsidRPr="00F64C92">
              <w:t>0.751429</w:t>
            </w:r>
          </w:p>
        </w:tc>
      </w:tr>
      <w:tr w:rsidR="00167387" w:rsidRPr="0049029D" w14:paraId="213363C9" w14:textId="77777777" w:rsidTr="009D2915">
        <w:tc>
          <w:tcPr>
            <w:tcW w:w="3855" w:type="dxa"/>
            <w:shd w:val="clear" w:color="auto" w:fill="auto"/>
          </w:tcPr>
          <w:p w14:paraId="4139BB56" w14:textId="0061F054" w:rsidR="00167387" w:rsidRPr="00D21F27" w:rsidRDefault="00167387" w:rsidP="00167387">
            <w:pPr>
              <w:adjustRightInd w:val="0"/>
              <w:snapToGrid w:val="0"/>
              <w:jc w:val="left"/>
            </w:pPr>
            <w:r w:rsidRPr="009B309E">
              <w:t>30-10-1987</w:t>
            </w:r>
          </w:p>
        </w:tc>
        <w:tc>
          <w:tcPr>
            <w:tcW w:w="3855" w:type="dxa"/>
            <w:shd w:val="clear" w:color="auto" w:fill="auto"/>
          </w:tcPr>
          <w:p w14:paraId="5ED4B512" w14:textId="4AFDC4D2" w:rsidR="00167387" w:rsidRPr="00A54569" w:rsidRDefault="00167387" w:rsidP="00167387">
            <w:pPr>
              <w:adjustRightInd w:val="0"/>
              <w:snapToGrid w:val="0"/>
              <w:jc w:val="left"/>
            </w:pPr>
            <w:r w:rsidRPr="00F64C92">
              <w:t>0.751429</w:t>
            </w:r>
          </w:p>
        </w:tc>
      </w:tr>
      <w:tr w:rsidR="00167387" w:rsidRPr="0049029D" w14:paraId="3DB6331F" w14:textId="77777777" w:rsidTr="009D2915">
        <w:tc>
          <w:tcPr>
            <w:tcW w:w="3855" w:type="dxa"/>
            <w:shd w:val="clear" w:color="auto" w:fill="auto"/>
          </w:tcPr>
          <w:p w14:paraId="4B87CD3E" w14:textId="5D8A8B40" w:rsidR="00167387" w:rsidRPr="00D21F27" w:rsidRDefault="00167387" w:rsidP="00167387">
            <w:pPr>
              <w:adjustRightInd w:val="0"/>
              <w:snapToGrid w:val="0"/>
              <w:jc w:val="left"/>
            </w:pPr>
            <w:r w:rsidRPr="009B309E">
              <w:t>02-11-1987</w:t>
            </w:r>
          </w:p>
        </w:tc>
        <w:tc>
          <w:tcPr>
            <w:tcW w:w="3855" w:type="dxa"/>
            <w:shd w:val="clear" w:color="auto" w:fill="auto"/>
          </w:tcPr>
          <w:p w14:paraId="33D99858" w14:textId="048CBA33" w:rsidR="00167387" w:rsidRPr="00A54569" w:rsidRDefault="00167387" w:rsidP="00167387">
            <w:pPr>
              <w:adjustRightInd w:val="0"/>
              <w:snapToGrid w:val="0"/>
              <w:jc w:val="left"/>
            </w:pPr>
            <w:r w:rsidRPr="00F64C92">
              <w:t>0.722997</w:t>
            </w:r>
          </w:p>
        </w:tc>
      </w:tr>
      <w:tr w:rsidR="00167387" w:rsidRPr="0049029D" w14:paraId="5955D4E6" w14:textId="77777777" w:rsidTr="009D2915">
        <w:tc>
          <w:tcPr>
            <w:tcW w:w="3855" w:type="dxa"/>
            <w:shd w:val="clear" w:color="auto" w:fill="auto"/>
          </w:tcPr>
          <w:p w14:paraId="11D40D39" w14:textId="37B3C4E6" w:rsidR="00167387" w:rsidRPr="00D21F27" w:rsidRDefault="00167387" w:rsidP="00167387">
            <w:pPr>
              <w:adjustRightInd w:val="0"/>
              <w:snapToGrid w:val="0"/>
              <w:jc w:val="left"/>
            </w:pPr>
            <w:r w:rsidRPr="009B309E">
              <w:t>03-11-1987</w:t>
            </w:r>
          </w:p>
        </w:tc>
        <w:tc>
          <w:tcPr>
            <w:tcW w:w="3855" w:type="dxa"/>
            <w:shd w:val="clear" w:color="auto" w:fill="auto"/>
          </w:tcPr>
          <w:p w14:paraId="0F0BF8D6" w14:textId="34C3F4DD" w:rsidR="00167387" w:rsidRPr="00A54569" w:rsidRDefault="00167387" w:rsidP="00167387">
            <w:pPr>
              <w:adjustRightInd w:val="0"/>
              <w:snapToGrid w:val="0"/>
              <w:jc w:val="left"/>
            </w:pPr>
            <w:r w:rsidRPr="00F64C92">
              <w:t>0.722997</w:t>
            </w:r>
          </w:p>
        </w:tc>
      </w:tr>
      <w:tr w:rsidR="00167387" w:rsidRPr="0049029D" w14:paraId="30BF8730" w14:textId="77777777" w:rsidTr="009D2915">
        <w:tc>
          <w:tcPr>
            <w:tcW w:w="3855" w:type="dxa"/>
            <w:shd w:val="clear" w:color="auto" w:fill="auto"/>
          </w:tcPr>
          <w:p w14:paraId="4CD56D5F" w14:textId="2DD58BC6" w:rsidR="00167387" w:rsidRPr="00D21F27" w:rsidRDefault="00167387" w:rsidP="00167387">
            <w:pPr>
              <w:adjustRightInd w:val="0"/>
              <w:snapToGrid w:val="0"/>
              <w:jc w:val="left"/>
            </w:pPr>
            <w:r w:rsidRPr="009B309E">
              <w:t>04-11-1987</w:t>
            </w:r>
          </w:p>
        </w:tc>
        <w:tc>
          <w:tcPr>
            <w:tcW w:w="3855" w:type="dxa"/>
            <w:shd w:val="clear" w:color="auto" w:fill="auto"/>
          </w:tcPr>
          <w:p w14:paraId="32D1ABFB" w14:textId="70CD1DBA" w:rsidR="00167387" w:rsidRPr="00A54569" w:rsidRDefault="00167387" w:rsidP="00167387">
            <w:pPr>
              <w:adjustRightInd w:val="0"/>
              <w:snapToGrid w:val="0"/>
              <w:jc w:val="left"/>
            </w:pPr>
            <w:r w:rsidRPr="00F64C92">
              <w:t>0.701772</w:t>
            </w:r>
          </w:p>
        </w:tc>
      </w:tr>
      <w:tr w:rsidR="00167387" w:rsidRPr="0049029D" w14:paraId="590BD192" w14:textId="77777777" w:rsidTr="009D2915">
        <w:tc>
          <w:tcPr>
            <w:tcW w:w="3855" w:type="dxa"/>
            <w:shd w:val="clear" w:color="auto" w:fill="auto"/>
          </w:tcPr>
          <w:p w14:paraId="3EB20F75" w14:textId="2205B25A" w:rsidR="00167387" w:rsidRPr="00D21F27" w:rsidRDefault="00167387" w:rsidP="00167387">
            <w:pPr>
              <w:adjustRightInd w:val="0"/>
              <w:snapToGrid w:val="0"/>
              <w:jc w:val="left"/>
            </w:pPr>
            <w:r w:rsidRPr="009B309E">
              <w:t>05-11-1987</w:t>
            </w:r>
          </w:p>
        </w:tc>
        <w:tc>
          <w:tcPr>
            <w:tcW w:w="3855" w:type="dxa"/>
            <w:shd w:val="clear" w:color="auto" w:fill="auto"/>
          </w:tcPr>
          <w:p w14:paraId="5007DF3C" w14:textId="2C58C844" w:rsidR="00167387" w:rsidRPr="00A54569" w:rsidRDefault="00167387" w:rsidP="00167387">
            <w:pPr>
              <w:adjustRightInd w:val="0"/>
              <w:snapToGrid w:val="0"/>
              <w:jc w:val="left"/>
            </w:pPr>
            <w:r w:rsidRPr="00F64C92">
              <w:t>0.701772</w:t>
            </w:r>
          </w:p>
        </w:tc>
      </w:tr>
      <w:tr w:rsidR="00167387" w:rsidRPr="0049029D" w14:paraId="1F7EF040" w14:textId="77777777" w:rsidTr="009D2915">
        <w:tc>
          <w:tcPr>
            <w:tcW w:w="3855" w:type="dxa"/>
            <w:shd w:val="clear" w:color="auto" w:fill="auto"/>
          </w:tcPr>
          <w:p w14:paraId="3573A089" w14:textId="14C3E02B" w:rsidR="00167387" w:rsidRPr="00D21F27" w:rsidRDefault="00167387" w:rsidP="00167387">
            <w:pPr>
              <w:adjustRightInd w:val="0"/>
              <w:snapToGrid w:val="0"/>
              <w:jc w:val="left"/>
            </w:pPr>
            <w:r w:rsidRPr="009B309E">
              <w:t>06-11-1987</w:t>
            </w:r>
          </w:p>
        </w:tc>
        <w:tc>
          <w:tcPr>
            <w:tcW w:w="3855" w:type="dxa"/>
            <w:shd w:val="clear" w:color="auto" w:fill="auto"/>
          </w:tcPr>
          <w:p w14:paraId="2FE28116" w14:textId="6F6E1D4D" w:rsidR="00167387" w:rsidRPr="00A54569" w:rsidRDefault="00167387" w:rsidP="00167387">
            <w:pPr>
              <w:adjustRightInd w:val="0"/>
              <w:snapToGrid w:val="0"/>
              <w:jc w:val="left"/>
            </w:pPr>
            <w:r w:rsidRPr="00F64C92">
              <w:t>0</w:t>
            </w:r>
          </w:p>
        </w:tc>
      </w:tr>
      <w:tr w:rsidR="00EF28FE" w:rsidRPr="0049029D" w14:paraId="4D7FFF79" w14:textId="77777777" w:rsidTr="009D2915">
        <w:tc>
          <w:tcPr>
            <w:tcW w:w="3855" w:type="dxa"/>
            <w:shd w:val="clear" w:color="auto" w:fill="auto"/>
          </w:tcPr>
          <w:p w14:paraId="63D3971F" w14:textId="77777777" w:rsidR="00EF28FE" w:rsidRPr="00D21F27" w:rsidRDefault="00EF28FE" w:rsidP="009D2915">
            <w:pPr>
              <w:adjustRightInd w:val="0"/>
              <w:snapToGrid w:val="0"/>
              <w:jc w:val="left"/>
            </w:pPr>
            <w:r>
              <w:t>…</w:t>
            </w:r>
          </w:p>
        </w:tc>
        <w:tc>
          <w:tcPr>
            <w:tcW w:w="3855" w:type="dxa"/>
            <w:shd w:val="clear" w:color="auto" w:fill="auto"/>
          </w:tcPr>
          <w:p w14:paraId="4759723A" w14:textId="77777777" w:rsidR="00EF28FE" w:rsidRPr="00A54569" w:rsidRDefault="00EF28FE" w:rsidP="009D2915">
            <w:pPr>
              <w:adjustRightInd w:val="0"/>
              <w:snapToGrid w:val="0"/>
              <w:jc w:val="left"/>
            </w:pPr>
            <w:r>
              <w:t>…</w:t>
            </w:r>
          </w:p>
        </w:tc>
      </w:tr>
      <w:tr w:rsidR="00167387" w:rsidRPr="0049029D" w14:paraId="6A1638BD" w14:textId="77777777" w:rsidTr="009D2915">
        <w:tc>
          <w:tcPr>
            <w:tcW w:w="3855" w:type="dxa"/>
            <w:shd w:val="clear" w:color="auto" w:fill="auto"/>
          </w:tcPr>
          <w:p w14:paraId="4278AE15" w14:textId="2A6B073D" w:rsidR="00167387" w:rsidRPr="00D21F27" w:rsidRDefault="00167387" w:rsidP="00167387">
            <w:pPr>
              <w:adjustRightInd w:val="0"/>
              <w:snapToGrid w:val="0"/>
              <w:jc w:val="left"/>
            </w:pPr>
            <w:r w:rsidRPr="00AA02FD">
              <w:t>03-03-2023</w:t>
            </w:r>
          </w:p>
        </w:tc>
        <w:tc>
          <w:tcPr>
            <w:tcW w:w="3855" w:type="dxa"/>
            <w:shd w:val="clear" w:color="auto" w:fill="auto"/>
          </w:tcPr>
          <w:p w14:paraId="2ABB2F66" w14:textId="3F4BC1A2" w:rsidR="00167387" w:rsidRPr="00A54569" w:rsidRDefault="00167387" w:rsidP="00167387">
            <w:pPr>
              <w:adjustRightInd w:val="0"/>
              <w:snapToGrid w:val="0"/>
              <w:jc w:val="left"/>
            </w:pPr>
            <w:r w:rsidRPr="00AA02FD">
              <w:t>284.410004</w:t>
            </w:r>
          </w:p>
        </w:tc>
      </w:tr>
      <w:tr w:rsidR="00167387" w:rsidRPr="0049029D" w14:paraId="67CA18DA" w14:textId="77777777" w:rsidTr="009D2915">
        <w:tc>
          <w:tcPr>
            <w:tcW w:w="3855" w:type="dxa"/>
            <w:shd w:val="clear" w:color="auto" w:fill="auto"/>
          </w:tcPr>
          <w:p w14:paraId="718B9EF2" w14:textId="17AC5460" w:rsidR="00167387" w:rsidRPr="00D21F27" w:rsidRDefault="00167387" w:rsidP="00167387">
            <w:pPr>
              <w:adjustRightInd w:val="0"/>
              <w:snapToGrid w:val="0"/>
              <w:jc w:val="left"/>
            </w:pPr>
            <w:r w:rsidRPr="00AA02FD">
              <w:t>06-03-2023</w:t>
            </w:r>
          </w:p>
        </w:tc>
        <w:tc>
          <w:tcPr>
            <w:tcW w:w="3855" w:type="dxa"/>
            <w:shd w:val="clear" w:color="auto" w:fill="auto"/>
          </w:tcPr>
          <w:p w14:paraId="145DA686" w14:textId="761CB9A4" w:rsidR="00167387" w:rsidRPr="00A54569" w:rsidRDefault="00167387" w:rsidP="00167387">
            <w:pPr>
              <w:adjustRightInd w:val="0"/>
              <w:snapToGrid w:val="0"/>
              <w:jc w:val="left"/>
            </w:pPr>
            <w:r w:rsidRPr="00AA02FD">
              <w:t>283.040009</w:t>
            </w:r>
          </w:p>
        </w:tc>
      </w:tr>
      <w:tr w:rsidR="00167387" w:rsidRPr="0049029D" w14:paraId="582231AE" w14:textId="77777777" w:rsidTr="009D2915">
        <w:tc>
          <w:tcPr>
            <w:tcW w:w="3855" w:type="dxa"/>
            <w:shd w:val="clear" w:color="auto" w:fill="auto"/>
          </w:tcPr>
          <w:p w14:paraId="4F28498C" w14:textId="0055D9FB" w:rsidR="00167387" w:rsidRPr="00D21F27" w:rsidRDefault="00167387" w:rsidP="00167387">
            <w:pPr>
              <w:adjustRightInd w:val="0"/>
              <w:snapToGrid w:val="0"/>
              <w:jc w:val="left"/>
            </w:pPr>
            <w:r w:rsidRPr="00AA02FD">
              <w:t>07-03-2023</w:t>
            </w:r>
          </w:p>
        </w:tc>
        <w:tc>
          <w:tcPr>
            <w:tcW w:w="3855" w:type="dxa"/>
            <w:shd w:val="clear" w:color="auto" w:fill="auto"/>
          </w:tcPr>
          <w:p w14:paraId="579A5E58" w14:textId="0025F35B" w:rsidR="00167387" w:rsidRPr="00A54569" w:rsidRDefault="00167387" w:rsidP="00167387">
            <w:pPr>
              <w:adjustRightInd w:val="0"/>
              <w:snapToGrid w:val="0"/>
              <w:jc w:val="left"/>
            </w:pPr>
            <w:r w:rsidRPr="00AA02FD">
              <w:t>267.390015</w:t>
            </w:r>
          </w:p>
        </w:tc>
      </w:tr>
      <w:tr w:rsidR="00167387" w:rsidRPr="0049029D" w14:paraId="3242B7B7" w14:textId="77777777" w:rsidTr="009D2915">
        <w:tc>
          <w:tcPr>
            <w:tcW w:w="3855" w:type="dxa"/>
            <w:shd w:val="clear" w:color="auto" w:fill="auto"/>
          </w:tcPr>
          <w:p w14:paraId="32D8C6A4" w14:textId="4C4A5B33" w:rsidR="00167387" w:rsidRPr="00D21F27" w:rsidRDefault="00167387" w:rsidP="00167387">
            <w:pPr>
              <w:adjustRightInd w:val="0"/>
              <w:snapToGrid w:val="0"/>
              <w:jc w:val="left"/>
            </w:pPr>
            <w:r w:rsidRPr="00AA02FD">
              <w:t>08-03-2023</w:t>
            </w:r>
          </w:p>
        </w:tc>
        <w:tc>
          <w:tcPr>
            <w:tcW w:w="3855" w:type="dxa"/>
            <w:shd w:val="clear" w:color="auto" w:fill="auto"/>
          </w:tcPr>
          <w:p w14:paraId="414940AB" w14:textId="2ED0C9CD" w:rsidR="00167387" w:rsidRPr="00A54569" w:rsidRDefault="00167387" w:rsidP="00167387">
            <w:pPr>
              <w:adjustRightInd w:val="0"/>
              <w:snapToGrid w:val="0"/>
              <w:jc w:val="left"/>
            </w:pPr>
            <w:r w:rsidRPr="00AA02FD">
              <w:t>267.829987</w:t>
            </w:r>
          </w:p>
        </w:tc>
      </w:tr>
      <w:tr w:rsidR="00167387" w:rsidRPr="0049029D" w14:paraId="5D93A752" w14:textId="77777777" w:rsidTr="009D2915">
        <w:tc>
          <w:tcPr>
            <w:tcW w:w="3855" w:type="dxa"/>
            <w:shd w:val="clear" w:color="auto" w:fill="auto"/>
          </w:tcPr>
          <w:p w14:paraId="448EA7EB" w14:textId="4E283287" w:rsidR="00167387" w:rsidRPr="00D21F27" w:rsidRDefault="00167387" w:rsidP="00167387">
            <w:pPr>
              <w:adjustRightInd w:val="0"/>
              <w:snapToGrid w:val="0"/>
              <w:jc w:val="left"/>
            </w:pPr>
            <w:r w:rsidRPr="00AA02FD">
              <w:t>09-03-2023</w:t>
            </w:r>
          </w:p>
        </w:tc>
        <w:tc>
          <w:tcPr>
            <w:tcW w:w="3855" w:type="dxa"/>
            <w:shd w:val="clear" w:color="auto" w:fill="auto"/>
          </w:tcPr>
          <w:p w14:paraId="2FCCC44E" w14:textId="39536260" w:rsidR="00167387" w:rsidRPr="00A54569" w:rsidRDefault="00167387" w:rsidP="00167387">
            <w:pPr>
              <w:adjustRightInd w:val="0"/>
              <w:snapToGrid w:val="0"/>
              <w:jc w:val="left"/>
            </w:pPr>
            <w:r w:rsidRPr="00AA02FD">
              <w:t>106.040001</w:t>
            </w:r>
          </w:p>
        </w:tc>
      </w:tr>
      <w:tr w:rsidR="00167387" w:rsidRPr="0049029D" w14:paraId="03CE8CA4" w14:textId="77777777" w:rsidTr="009D2915">
        <w:tc>
          <w:tcPr>
            <w:tcW w:w="3855" w:type="dxa"/>
            <w:shd w:val="clear" w:color="auto" w:fill="auto"/>
          </w:tcPr>
          <w:p w14:paraId="0486DD78" w14:textId="2E0F046E" w:rsidR="00167387" w:rsidRPr="00D21F27" w:rsidRDefault="00167387" w:rsidP="00167387">
            <w:pPr>
              <w:adjustRightInd w:val="0"/>
              <w:snapToGrid w:val="0"/>
              <w:jc w:val="left"/>
            </w:pPr>
            <w:r w:rsidRPr="00AA02FD">
              <w:t>10-03-2023</w:t>
            </w:r>
          </w:p>
        </w:tc>
        <w:tc>
          <w:tcPr>
            <w:tcW w:w="3855" w:type="dxa"/>
            <w:shd w:val="clear" w:color="auto" w:fill="auto"/>
          </w:tcPr>
          <w:p w14:paraId="44EAEE8E" w14:textId="0A665833" w:rsidR="00167387" w:rsidRPr="00A54569" w:rsidRDefault="00167387" w:rsidP="00167387">
            <w:pPr>
              <w:adjustRightInd w:val="0"/>
              <w:snapToGrid w:val="0"/>
              <w:jc w:val="left"/>
            </w:pPr>
            <w:r w:rsidRPr="00AA02FD">
              <w:t>106.040001</w:t>
            </w:r>
          </w:p>
        </w:tc>
      </w:tr>
      <w:tr w:rsidR="00167387" w:rsidRPr="0049029D" w14:paraId="5F6D3B87" w14:textId="77777777" w:rsidTr="009D2915">
        <w:tc>
          <w:tcPr>
            <w:tcW w:w="3855" w:type="dxa"/>
            <w:shd w:val="clear" w:color="auto" w:fill="auto"/>
          </w:tcPr>
          <w:p w14:paraId="25F614E5" w14:textId="5ABF6669" w:rsidR="00167387" w:rsidRPr="00D21F27" w:rsidRDefault="00167387" w:rsidP="00167387">
            <w:pPr>
              <w:adjustRightInd w:val="0"/>
              <w:snapToGrid w:val="0"/>
              <w:jc w:val="left"/>
            </w:pPr>
            <w:r w:rsidRPr="00AA02FD">
              <w:t>13-03-2023</w:t>
            </w:r>
          </w:p>
        </w:tc>
        <w:tc>
          <w:tcPr>
            <w:tcW w:w="3855" w:type="dxa"/>
            <w:shd w:val="clear" w:color="auto" w:fill="auto"/>
          </w:tcPr>
          <w:p w14:paraId="6C8C5A33" w14:textId="5B9E0856" w:rsidR="00167387" w:rsidRPr="00A54569" w:rsidRDefault="00167387" w:rsidP="00167387">
            <w:pPr>
              <w:adjustRightInd w:val="0"/>
              <w:snapToGrid w:val="0"/>
              <w:jc w:val="left"/>
            </w:pPr>
            <w:r w:rsidRPr="00AA02FD">
              <w:t>106.040001</w:t>
            </w:r>
          </w:p>
        </w:tc>
      </w:tr>
      <w:tr w:rsidR="00167387" w:rsidRPr="0049029D" w14:paraId="31FD4BCD" w14:textId="77777777" w:rsidTr="009D2915">
        <w:tc>
          <w:tcPr>
            <w:tcW w:w="3855" w:type="dxa"/>
            <w:shd w:val="clear" w:color="auto" w:fill="auto"/>
          </w:tcPr>
          <w:p w14:paraId="7C91A48C" w14:textId="5CDAB59B" w:rsidR="00167387" w:rsidRPr="00D21F27" w:rsidRDefault="00167387" w:rsidP="00167387">
            <w:pPr>
              <w:adjustRightInd w:val="0"/>
              <w:snapToGrid w:val="0"/>
              <w:jc w:val="left"/>
            </w:pPr>
            <w:r w:rsidRPr="00AA02FD">
              <w:t>14-03-2023</w:t>
            </w:r>
          </w:p>
        </w:tc>
        <w:tc>
          <w:tcPr>
            <w:tcW w:w="3855" w:type="dxa"/>
            <w:shd w:val="clear" w:color="auto" w:fill="auto"/>
          </w:tcPr>
          <w:p w14:paraId="7A628E62" w14:textId="3BCCAC7F" w:rsidR="00167387" w:rsidRPr="00A54569" w:rsidRDefault="00167387" w:rsidP="00167387">
            <w:pPr>
              <w:adjustRightInd w:val="0"/>
              <w:snapToGrid w:val="0"/>
              <w:jc w:val="left"/>
            </w:pPr>
            <w:r w:rsidRPr="00AA02FD">
              <w:t>106.040001</w:t>
            </w:r>
          </w:p>
        </w:tc>
      </w:tr>
      <w:tr w:rsidR="00167387" w:rsidRPr="0049029D" w14:paraId="559202BC" w14:textId="77777777" w:rsidTr="009D2915">
        <w:tc>
          <w:tcPr>
            <w:tcW w:w="3855" w:type="dxa"/>
            <w:shd w:val="clear" w:color="auto" w:fill="auto"/>
          </w:tcPr>
          <w:p w14:paraId="5D51B73C" w14:textId="11D6A8C6" w:rsidR="00167387" w:rsidRPr="00D21F27" w:rsidRDefault="00167387" w:rsidP="00167387">
            <w:pPr>
              <w:adjustRightInd w:val="0"/>
              <w:snapToGrid w:val="0"/>
              <w:jc w:val="left"/>
            </w:pPr>
            <w:r w:rsidRPr="00AA02FD">
              <w:lastRenderedPageBreak/>
              <w:t>15-03-2023</w:t>
            </w:r>
          </w:p>
        </w:tc>
        <w:tc>
          <w:tcPr>
            <w:tcW w:w="3855" w:type="dxa"/>
            <w:shd w:val="clear" w:color="auto" w:fill="auto"/>
          </w:tcPr>
          <w:p w14:paraId="22EF68BE" w14:textId="1909FCFD" w:rsidR="00167387" w:rsidRPr="00A54569" w:rsidRDefault="00167387" w:rsidP="00167387">
            <w:pPr>
              <w:adjustRightInd w:val="0"/>
              <w:snapToGrid w:val="0"/>
              <w:jc w:val="left"/>
            </w:pPr>
            <w:r w:rsidRPr="00AA02FD">
              <w:t>106.040001</w:t>
            </w:r>
          </w:p>
        </w:tc>
      </w:tr>
      <w:tr w:rsidR="00167387" w:rsidRPr="0049029D" w14:paraId="012E88A1" w14:textId="77777777" w:rsidTr="009D2915">
        <w:tc>
          <w:tcPr>
            <w:tcW w:w="3855" w:type="dxa"/>
            <w:shd w:val="clear" w:color="auto" w:fill="auto"/>
          </w:tcPr>
          <w:p w14:paraId="5D7FCB99" w14:textId="0C95824B" w:rsidR="00167387" w:rsidRPr="00D21F27" w:rsidRDefault="00167387" w:rsidP="00167387">
            <w:pPr>
              <w:adjustRightInd w:val="0"/>
              <w:snapToGrid w:val="0"/>
              <w:jc w:val="left"/>
            </w:pPr>
            <w:r w:rsidRPr="00AA02FD">
              <w:t>16-03-2023</w:t>
            </w:r>
          </w:p>
        </w:tc>
        <w:tc>
          <w:tcPr>
            <w:tcW w:w="3855" w:type="dxa"/>
            <w:shd w:val="clear" w:color="auto" w:fill="auto"/>
          </w:tcPr>
          <w:p w14:paraId="0AB29C9A" w14:textId="431C72C1" w:rsidR="00167387" w:rsidRPr="00A54569" w:rsidRDefault="00167387" w:rsidP="00167387">
            <w:pPr>
              <w:adjustRightInd w:val="0"/>
              <w:snapToGrid w:val="0"/>
              <w:jc w:val="left"/>
            </w:pPr>
            <w:r w:rsidRPr="00AA02FD">
              <w:t>106.040001</w:t>
            </w:r>
          </w:p>
        </w:tc>
      </w:tr>
    </w:tbl>
    <w:p w14:paraId="713C434E" w14:textId="77777777" w:rsidR="00EF28FE" w:rsidRPr="00061B1E" w:rsidRDefault="00EF28FE" w:rsidP="00EF28FE">
      <w:pPr>
        <w:pStyle w:val="MDPI31text"/>
        <w:ind w:left="2968" w:firstLine="0"/>
        <w:rPr>
          <w:iCs/>
        </w:rPr>
      </w:pPr>
    </w:p>
    <w:p w14:paraId="2FEEF7BB" w14:textId="226BE9F6" w:rsidR="00EF28FE" w:rsidRDefault="00EF28FE" w:rsidP="00EF28FE">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0" w:history="1">
        <w:r w:rsidR="00167387" w:rsidRPr="007E15D1">
          <w:rPr>
            <w:rStyle w:val="Hyperlink"/>
            <w:rFonts w:eastAsia="Times New Roman"/>
            <w:iCs/>
            <w:noProof w:val="0"/>
            <w:snapToGrid w:val="0"/>
            <w:szCs w:val="22"/>
            <w:lang w:eastAsia="de-DE" w:bidi="en-US"/>
          </w:rPr>
          <w:t>https://github.com/Anurag-Dutta/SVB/blob/main/close.csv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Closing Stock Price Column. Table 6. shows the digit wise frequency of the same. </w:t>
      </w:r>
    </w:p>
    <w:p w14:paraId="7DA291A1" w14:textId="77777777" w:rsidR="00EF28FE" w:rsidRDefault="00EF28FE" w:rsidP="00EF28FE">
      <w:pPr>
        <w:pStyle w:val="ListParagraph"/>
        <w:spacing w:line="0" w:lineRule="atLeast"/>
        <w:ind w:left="2552"/>
        <w:rPr>
          <w:rFonts w:eastAsia="Times New Roman"/>
          <w:iCs/>
          <w:noProof w:val="0"/>
          <w:snapToGrid w:val="0"/>
          <w:szCs w:val="22"/>
          <w:lang w:eastAsia="de-DE" w:bidi="en-US"/>
        </w:rPr>
      </w:pPr>
    </w:p>
    <w:p w14:paraId="60B9BF61" w14:textId="77777777"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Closing Price. </w:t>
      </w:r>
    </w:p>
    <w:p w14:paraId="50EFC9AC"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0E66C3BA" w14:textId="77777777" w:rsidTr="009D2915">
        <w:tc>
          <w:tcPr>
            <w:tcW w:w="3855" w:type="dxa"/>
            <w:tcBorders>
              <w:bottom w:val="single" w:sz="4" w:space="0" w:color="auto"/>
            </w:tcBorders>
            <w:shd w:val="clear" w:color="auto" w:fill="auto"/>
          </w:tcPr>
          <w:p w14:paraId="1A18B8BC" w14:textId="77777777" w:rsidR="00EF28FE" w:rsidRPr="008721B1" w:rsidRDefault="00EF28FE" w:rsidP="009D2915">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4173B154" w14:textId="77777777" w:rsidR="00EF28FE" w:rsidRPr="008721B1" w:rsidRDefault="00EF28FE" w:rsidP="009D2915">
            <w:pPr>
              <w:adjustRightInd w:val="0"/>
              <w:snapToGrid w:val="0"/>
              <w:jc w:val="left"/>
              <w:rPr>
                <w:b/>
                <w:bCs/>
                <w:noProof w:val="0"/>
              </w:rPr>
            </w:pPr>
            <w:r>
              <w:rPr>
                <w:b/>
                <w:bCs/>
              </w:rPr>
              <w:t>Frequency</w:t>
            </w:r>
          </w:p>
        </w:tc>
      </w:tr>
      <w:tr w:rsidR="00167387" w:rsidRPr="0049029D" w14:paraId="5075A79D" w14:textId="77777777" w:rsidTr="009D2915">
        <w:tc>
          <w:tcPr>
            <w:tcW w:w="3855" w:type="dxa"/>
            <w:shd w:val="clear" w:color="auto" w:fill="auto"/>
          </w:tcPr>
          <w:p w14:paraId="176F72BE" w14:textId="77FA5ABD" w:rsidR="00167387" w:rsidRPr="0049029D" w:rsidRDefault="00167387" w:rsidP="00167387">
            <w:pPr>
              <w:adjustRightInd w:val="0"/>
              <w:snapToGrid w:val="0"/>
              <w:jc w:val="left"/>
              <w:rPr>
                <w:noProof w:val="0"/>
              </w:rPr>
            </w:pPr>
            <w:r w:rsidRPr="0045065F">
              <w:t>1</w:t>
            </w:r>
          </w:p>
        </w:tc>
        <w:tc>
          <w:tcPr>
            <w:tcW w:w="3855" w:type="dxa"/>
            <w:shd w:val="clear" w:color="auto" w:fill="auto"/>
          </w:tcPr>
          <w:p w14:paraId="29919108" w14:textId="47D595D3" w:rsidR="00167387" w:rsidRPr="0049029D" w:rsidRDefault="00167387" w:rsidP="00167387">
            <w:pPr>
              <w:adjustRightInd w:val="0"/>
              <w:snapToGrid w:val="0"/>
              <w:jc w:val="left"/>
              <w:rPr>
                <w:noProof w:val="0"/>
              </w:rPr>
            </w:pPr>
            <w:r w:rsidRPr="0045065F">
              <w:t>2022</w:t>
            </w:r>
          </w:p>
        </w:tc>
      </w:tr>
      <w:tr w:rsidR="00167387" w:rsidRPr="0049029D" w14:paraId="4FE04343" w14:textId="77777777" w:rsidTr="009D2915">
        <w:tc>
          <w:tcPr>
            <w:tcW w:w="3855" w:type="dxa"/>
            <w:shd w:val="clear" w:color="auto" w:fill="auto"/>
          </w:tcPr>
          <w:p w14:paraId="4CAC055B" w14:textId="552EE3EB" w:rsidR="00167387" w:rsidRPr="0049029D" w:rsidRDefault="00167387" w:rsidP="00167387">
            <w:pPr>
              <w:adjustRightInd w:val="0"/>
              <w:snapToGrid w:val="0"/>
              <w:jc w:val="left"/>
              <w:rPr>
                <w:noProof w:val="0"/>
              </w:rPr>
            </w:pPr>
            <w:r w:rsidRPr="0045065F">
              <w:t>2</w:t>
            </w:r>
          </w:p>
        </w:tc>
        <w:tc>
          <w:tcPr>
            <w:tcW w:w="3855" w:type="dxa"/>
            <w:shd w:val="clear" w:color="auto" w:fill="auto"/>
          </w:tcPr>
          <w:p w14:paraId="7E564D4B" w14:textId="7BC8A228" w:rsidR="00167387" w:rsidRPr="0049029D" w:rsidRDefault="00167387" w:rsidP="00167387">
            <w:pPr>
              <w:adjustRightInd w:val="0"/>
              <w:snapToGrid w:val="0"/>
              <w:jc w:val="left"/>
              <w:rPr>
                <w:noProof w:val="0"/>
              </w:rPr>
            </w:pPr>
            <w:r w:rsidRPr="0045065F">
              <w:t>2226</w:t>
            </w:r>
          </w:p>
        </w:tc>
      </w:tr>
      <w:tr w:rsidR="00167387" w:rsidRPr="0049029D" w14:paraId="65678A4C" w14:textId="77777777" w:rsidTr="009D2915">
        <w:tc>
          <w:tcPr>
            <w:tcW w:w="3855" w:type="dxa"/>
            <w:shd w:val="clear" w:color="auto" w:fill="auto"/>
          </w:tcPr>
          <w:p w14:paraId="6981357B" w14:textId="6D8ED374" w:rsidR="00167387" w:rsidRPr="0049029D" w:rsidRDefault="00167387" w:rsidP="00167387">
            <w:pPr>
              <w:adjustRightInd w:val="0"/>
              <w:snapToGrid w:val="0"/>
              <w:jc w:val="left"/>
              <w:rPr>
                <w:noProof w:val="0"/>
              </w:rPr>
            </w:pPr>
            <w:r w:rsidRPr="0045065F">
              <w:t>3</w:t>
            </w:r>
          </w:p>
        </w:tc>
        <w:tc>
          <w:tcPr>
            <w:tcW w:w="3855" w:type="dxa"/>
            <w:shd w:val="clear" w:color="auto" w:fill="auto"/>
          </w:tcPr>
          <w:p w14:paraId="1CEDAF37" w14:textId="5AABB160" w:rsidR="00167387" w:rsidRPr="0049029D" w:rsidRDefault="00167387" w:rsidP="00167387">
            <w:pPr>
              <w:adjustRightInd w:val="0"/>
              <w:snapToGrid w:val="0"/>
              <w:jc w:val="left"/>
              <w:rPr>
                <w:noProof w:val="0"/>
              </w:rPr>
            </w:pPr>
            <w:r w:rsidRPr="0045065F">
              <w:t>1157</w:t>
            </w:r>
          </w:p>
        </w:tc>
      </w:tr>
      <w:tr w:rsidR="00167387" w:rsidRPr="0049029D" w14:paraId="5A5DA9B3" w14:textId="77777777" w:rsidTr="009D2915">
        <w:tc>
          <w:tcPr>
            <w:tcW w:w="3855" w:type="dxa"/>
            <w:shd w:val="clear" w:color="auto" w:fill="auto"/>
          </w:tcPr>
          <w:p w14:paraId="50318416" w14:textId="7FE3297C" w:rsidR="00167387" w:rsidRPr="00DE29B0" w:rsidRDefault="00167387" w:rsidP="00167387">
            <w:pPr>
              <w:adjustRightInd w:val="0"/>
              <w:snapToGrid w:val="0"/>
              <w:jc w:val="left"/>
            </w:pPr>
            <w:r w:rsidRPr="0045065F">
              <w:t>4</w:t>
            </w:r>
          </w:p>
        </w:tc>
        <w:tc>
          <w:tcPr>
            <w:tcW w:w="3855" w:type="dxa"/>
            <w:shd w:val="clear" w:color="auto" w:fill="auto"/>
          </w:tcPr>
          <w:p w14:paraId="16A53136" w14:textId="5CC08A3D" w:rsidR="00167387" w:rsidRPr="00DE29B0" w:rsidRDefault="00167387" w:rsidP="00167387">
            <w:pPr>
              <w:adjustRightInd w:val="0"/>
              <w:snapToGrid w:val="0"/>
              <w:jc w:val="left"/>
            </w:pPr>
            <w:r w:rsidRPr="0045065F">
              <w:t>1337</w:t>
            </w:r>
          </w:p>
        </w:tc>
      </w:tr>
      <w:tr w:rsidR="00167387" w:rsidRPr="0049029D" w14:paraId="3BA993B8" w14:textId="77777777" w:rsidTr="009D2915">
        <w:tc>
          <w:tcPr>
            <w:tcW w:w="3855" w:type="dxa"/>
            <w:shd w:val="clear" w:color="auto" w:fill="auto"/>
          </w:tcPr>
          <w:p w14:paraId="564423FF" w14:textId="258D0902" w:rsidR="00167387" w:rsidRPr="00D21F27" w:rsidRDefault="00167387" w:rsidP="00167387">
            <w:pPr>
              <w:adjustRightInd w:val="0"/>
              <w:snapToGrid w:val="0"/>
              <w:jc w:val="left"/>
            </w:pPr>
            <w:r w:rsidRPr="0045065F">
              <w:t>5</w:t>
            </w:r>
          </w:p>
        </w:tc>
        <w:tc>
          <w:tcPr>
            <w:tcW w:w="3855" w:type="dxa"/>
            <w:shd w:val="clear" w:color="auto" w:fill="auto"/>
          </w:tcPr>
          <w:p w14:paraId="0F25E407" w14:textId="33BAD930" w:rsidR="00167387" w:rsidRPr="00A54569" w:rsidRDefault="00167387" w:rsidP="00167387">
            <w:pPr>
              <w:adjustRightInd w:val="0"/>
              <w:snapToGrid w:val="0"/>
              <w:jc w:val="left"/>
            </w:pPr>
            <w:r w:rsidRPr="0045065F">
              <w:t>1010</w:t>
            </w:r>
          </w:p>
        </w:tc>
      </w:tr>
      <w:tr w:rsidR="00167387" w:rsidRPr="0049029D" w14:paraId="2B0EC6F7" w14:textId="77777777" w:rsidTr="009D2915">
        <w:tc>
          <w:tcPr>
            <w:tcW w:w="3855" w:type="dxa"/>
            <w:shd w:val="clear" w:color="auto" w:fill="auto"/>
          </w:tcPr>
          <w:p w14:paraId="7394D601" w14:textId="5EF117BC" w:rsidR="00167387" w:rsidRPr="00D21F27" w:rsidRDefault="00167387" w:rsidP="00167387">
            <w:pPr>
              <w:adjustRightInd w:val="0"/>
              <w:snapToGrid w:val="0"/>
              <w:jc w:val="left"/>
            </w:pPr>
            <w:r w:rsidRPr="0045065F">
              <w:t>6</w:t>
            </w:r>
          </w:p>
        </w:tc>
        <w:tc>
          <w:tcPr>
            <w:tcW w:w="3855" w:type="dxa"/>
            <w:shd w:val="clear" w:color="auto" w:fill="auto"/>
          </w:tcPr>
          <w:p w14:paraId="2FE2CE3D" w14:textId="44C10F41" w:rsidR="00167387" w:rsidRPr="00A54569" w:rsidRDefault="00167387" w:rsidP="00167387">
            <w:pPr>
              <w:adjustRightInd w:val="0"/>
              <w:snapToGrid w:val="0"/>
              <w:jc w:val="left"/>
            </w:pPr>
            <w:r w:rsidRPr="0045065F">
              <w:t>392</w:t>
            </w:r>
          </w:p>
        </w:tc>
      </w:tr>
      <w:tr w:rsidR="00167387" w:rsidRPr="0049029D" w14:paraId="4138DC65" w14:textId="77777777" w:rsidTr="009D2915">
        <w:tc>
          <w:tcPr>
            <w:tcW w:w="3855" w:type="dxa"/>
            <w:shd w:val="clear" w:color="auto" w:fill="auto"/>
          </w:tcPr>
          <w:p w14:paraId="70F3AC2C" w14:textId="01287888" w:rsidR="00167387" w:rsidRPr="00D21F27" w:rsidRDefault="00167387" w:rsidP="00167387">
            <w:pPr>
              <w:adjustRightInd w:val="0"/>
              <w:snapToGrid w:val="0"/>
              <w:jc w:val="left"/>
            </w:pPr>
            <w:r w:rsidRPr="0045065F">
              <w:t>7</w:t>
            </w:r>
          </w:p>
        </w:tc>
        <w:tc>
          <w:tcPr>
            <w:tcW w:w="3855" w:type="dxa"/>
            <w:shd w:val="clear" w:color="auto" w:fill="auto"/>
          </w:tcPr>
          <w:p w14:paraId="4F2107E6" w14:textId="31F07B9C" w:rsidR="00167387" w:rsidRPr="00A54569" w:rsidRDefault="00167387" w:rsidP="00167387">
            <w:pPr>
              <w:adjustRightInd w:val="0"/>
              <w:snapToGrid w:val="0"/>
              <w:jc w:val="left"/>
            </w:pPr>
            <w:r w:rsidRPr="0045065F">
              <w:t>179</w:t>
            </w:r>
          </w:p>
        </w:tc>
      </w:tr>
      <w:tr w:rsidR="00167387" w:rsidRPr="0049029D" w14:paraId="6BB77192" w14:textId="77777777" w:rsidTr="009D2915">
        <w:tc>
          <w:tcPr>
            <w:tcW w:w="3855" w:type="dxa"/>
            <w:shd w:val="clear" w:color="auto" w:fill="auto"/>
          </w:tcPr>
          <w:p w14:paraId="3D6BE05D" w14:textId="5CB79182" w:rsidR="00167387" w:rsidRPr="00D21F27" w:rsidRDefault="00167387" w:rsidP="00167387">
            <w:pPr>
              <w:adjustRightInd w:val="0"/>
              <w:snapToGrid w:val="0"/>
              <w:jc w:val="left"/>
            </w:pPr>
            <w:r w:rsidRPr="0045065F">
              <w:t>8</w:t>
            </w:r>
          </w:p>
        </w:tc>
        <w:tc>
          <w:tcPr>
            <w:tcW w:w="3855" w:type="dxa"/>
            <w:shd w:val="clear" w:color="auto" w:fill="auto"/>
          </w:tcPr>
          <w:p w14:paraId="6E8B292C" w14:textId="44970C78" w:rsidR="00167387" w:rsidRPr="00A54569" w:rsidRDefault="00167387" w:rsidP="00167387">
            <w:pPr>
              <w:adjustRightInd w:val="0"/>
              <w:snapToGrid w:val="0"/>
              <w:jc w:val="left"/>
            </w:pPr>
            <w:r w:rsidRPr="0045065F">
              <w:t>194</w:t>
            </w:r>
          </w:p>
        </w:tc>
      </w:tr>
      <w:tr w:rsidR="00167387" w:rsidRPr="0049029D" w14:paraId="39EE7E0E" w14:textId="77777777" w:rsidTr="009D2915">
        <w:tc>
          <w:tcPr>
            <w:tcW w:w="3855" w:type="dxa"/>
            <w:shd w:val="clear" w:color="auto" w:fill="auto"/>
          </w:tcPr>
          <w:p w14:paraId="778CE027" w14:textId="58B71FC6" w:rsidR="00167387" w:rsidRPr="00D21F27" w:rsidRDefault="00167387" w:rsidP="00167387">
            <w:pPr>
              <w:adjustRightInd w:val="0"/>
              <w:snapToGrid w:val="0"/>
              <w:jc w:val="left"/>
            </w:pPr>
            <w:r w:rsidRPr="0045065F">
              <w:t>9</w:t>
            </w:r>
          </w:p>
        </w:tc>
        <w:tc>
          <w:tcPr>
            <w:tcW w:w="3855" w:type="dxa"/>
            <w:shd w:val="clear" w:color="auto" w:fill="auto"/>
          </w:tcPr>
          <w:p w14:paraId="72802A95" w14:textId="47355A82" w:rsidR="00167387" w:rsidRPr="00A54569" w:rsidRDefault="00167387" w:rsidP="00167387">
            <w:pPr>
              <w:adjustRightInd w:val="0"/>
              <w:snapToGrid w:val="0"/>
              <w:jc w:val="left"/>
            </w:pPr>
            <w:r w:rsidRPr="0045065F">
              <w:t>269</w:t>
            </w:r>
          </w:p>
        </w:tc>
      </w:tr>
    </w:tbl>
    <w:p w14:paraId="0D66B688" w14:textId="77777777" w:rsidR="00EF28FE" w:rsidRDefault="00EF28FE" w:rsidP="00EF28FE">
      <w:pPr>
        <w:pStyle w:val="ListParagraph"/>
        <w:spacing w:line="0" w:lineRule="atLeast"/>
        <w:ind w:left="2552"/>
        <w:rPr>
          <w:rFonts w:eastAsiaTheme="minorEastAsia"/>
          <w:shd w:val="clear" w:color="auto" w:fill="FFFFFF"/>
        </w:rPr>
      </w:pPr>
    </w:p>
    <w:p w14:paraId="387531E9" w14:textId="3B62E2D5" w:rsidR="00EF28FE" w:rsidRPr="00E5735B" w:rsidRDefault="00EF28FE" w:rsidP="00EF28FE">
      <w:pPr>
        <w:pStyle w:val="ListParagraph"/>
        <w:spacing w:line="0" w:lineRule="atLeast"/>
        <w:ind w:left="2552"/>
        <w:rPr>
          <w:rFonts w:eastAsiaTheme="minorEastAsia"/>
          <w:shd w:val="clear" w:color="auto" w:fill="FFFFFF"/>
        </w:rPr>
      </w:pPr>
      <w:r>
        <w:rPr>
          <w:rFonts w:eastAsiaTheme="minorEastAsia"/>
          <w:shd w:val="clear" w:color="auto" w:fill="FFFFFF"/>
        </w:rPr>
        <w:t>Adding up all the entries of the Frequen</w:t>
      </w:r>
      <w:r w:rsidR="00167387">
        <w:rPr>
          <w:rFonts w:eastAsiaTheme="minorEastAsia"/>
          <w:shd w:val="clear" w:color="auto" w:fill="FFFFFF"/>
        </w:rPr>
        <w:t>c</w:t>
      </w:r>
      <w:r>
        <w:rPr>
          <w:rFonts w:eastAsiaTheme="minorEastAsia"/>
          <w:shd w:val="clear" w:color="auto" w:fill="FFFFFF"/>
        </w:rPr>
        <w:t xml:space="preserve">y Column, we get, </w:t>
      </w:r>
    </w:p>
    <w:p w14:paraId="03087B75" w14:textId="4F14E9FF" w:rsidR="00EF28FE" w:rsidRPr="00E5735B" w:rsidRDefault="00000000" w:rsidP="00EF28FE">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=8786</m:t>
          </m:r>
        </m:oMath>
      </m:oMathPara>
    </w:p>
    <w:p w14:paraId="7774F9BD" w14:textId="77777777" w:rsidR="00EF28FE" w:rsidRDefault="00EF28FE" w:rsidP="00EF28FE">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5D9DB761" w14:textId="64110B7B" w:rsidR="00EF28FE" w:rsidRDefault="00EF28FE" w:rsidP="00EF28FE">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8786</m:t>
              </m:r>
            </m:den>
          </m:f>
        </m:oMath>
      </m:oMathPara>
    </w:p>
    <w:p w14:paraId="0690EE6A" w14:textId="5C1200F9" w:rsidR="00EF28FE" w:rsidRPr="00027999" w:rsidRDefault="00EF28FE" w:rsidP="00EF28FE">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probabilities have been demonstrated on the Table 1. </w:t>
      </w:r>
      <w:r>
        <w:t xml:space="preserve">Figure </w:t>
      </w:r>
      <w:r w:rsidR="00A07B3E">
        <w:t>4</w:t>
      </w:r>
      <w:r>
        <w:t xml:space="preserve"> contrasts the same. </w:t>
      </w:r>
    </w:p>
    <w:p w14:paraId="01171AC0" w14:textId="77777777" w:rsidR="00EF28FE" w:rsidRDefault="00EF28FE" w:rsidP="00EF28FE">
      <w:pPr>
        <w:adjustRightInd w:val="0"/>
        <w:snapToGrid w:val="0"/>
        <w:jc w:val="center"/>
        <w:rPr>
          <w:noProof w:val="0"/>
        </w:rPr>
      </w:pPr>
      <w:r w:rsidRPr="0049029D">
        <w:drawing>
          <wp:inline distT="0" distB="0" distL="0" distR="0" wp14:anchorId="6593A8CE" wp14:editId="56B15087">
            <wp:extent cx="3744000" cy="2808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a:xfrm>
                      <a:off x="0" y="0"/>
                      <a:ext cx="3744000" cy="2808000"/>
                    </a:xfrm>
                    <a:prstGeom prst="rect">
                      <a:avLst/>
                    </a:prstGeom>
                  </pic:spPr>
                </pic:pic>
              </a:graphicData>
            </a:graphic>
          </wp:inline>
        </w:drawing>
      </w:r>
    </w:p>
    <w:p w14:paraId="6E69DABD" w14:textId="5C935BF4" w:rsidR="00EF28FE" w:rsidRDefault="00EF28FE" w:rsidP="00EF28FE">
      <w:pPr>
        <w:pStyle w:val="MDPI51figurecaption"/>
        <w:jc w:val="both"/>
      </w:pPr>
      <w:r w:rsidRPr="0049029D">
        <w:rPr>
          <w:b/>
        </w:rPr>
        <w:t xml:space="preserve">Figure </w:t>
      </w:r>
      <w:r w:rsidR="00A07B3E">
        <w:rPr>
          <w:b/>
        </w:rPr>
        <w:t>4</w:t>
      </w:r>
      <w:r w:rsidRPr="0049029D">
        <w:rPr>
          <w:b/>
        </w:rPr>
        <w:t xml:space="preserve">. </w:t>
      </w:r>
      <w:r>
        <w:t xml:space="preserve">Contrast between Actual and Theoretical Probabilities taking into consideration, Closing Price of the </w:t>
      </w:r>
      <w:r w:rsidR="00167387" w:rsidRPr="00167387">
        <w:t>Silicon Valley Bank Stocks</w:t>
      </w:r>
    </w:p>
    <w:p w14:paraId="6DF97E31" w14:textId="77777777" w:rsidR="00EF28FE" w:rsidRPr="008C5901" w:rsidRDefault="00EF28FE" w:rsidP="00EF28FE">
      <w:pPr>
        <w:pStyle w:val="MDPI51figurecaption"/>
        <w:jc w:val="both"/>
        <w:rPr>
          <w:bCs/>
          <w:sz w:val="20"/>
        </w:rPr>
      </w:pPr>
      <w:r w:rsidRPr="008C5901">
        <w:rPr>
          <w:bCs/>
          <w:sz w:val="20"/>
        </w:rPr>
        <w:t>The</w:t>
      </w:r>
      <w:r>
        <w:rPr>
          <w:bCs/>
          <w:sz w:val="20"/>
        </w:rPr>
        <w:t xml:space="preserve"> mean squared error, </w:t>
      </w:r>
    </w:p>
    <w:p w14:paraId="176B1B02" w14:textId="77777777" w:rsidR="00EF28FE" w:rsidRPr="008C5901" w:rsidRDefault="00000000" w:rsidP="00EF28FE">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02F7E34A" w14:textId="27454DB4" w:rsidR="00EF28FE" w:rsidRDefault="00EF28FE" w:rsidP="00EF28FE">
      <w:pPr>
        <w:pStyle w:val="MDPI51figurecaption"/>
        <w:jc w:val="both"/>
        <w:rPr>
          <w:rFonts w:eastAsiaTheme="minorEastAsia"/>
          <w:bCs/>
          <w:noProof/>
          <w:sz w:val="20"/>
        </w:rPr>
      </w:pPr>
      <w:r>
        <w:rPr>
          <w:rFonts w:eastAsiaTheme="minorEastAsia"/>
          <w:bCs/>
          <w:noProof/>
          <w:sz w:val="20"/>
        </w:rPr>
        <w:t xml:space="preserve">turns out to be </w:t>
      </w:r>
      <w:r w:rsidR="00167387" w:rsidRPr="00167387">
        <w:rPr>
          <w:rFonts w:eastAsiaTheme="minorEastAsia"/>
          <w:bCs/>
          <w:noProof/>
          <w:sz w:val="20"/>
        </w:rPr>
        <w:t>0.672226388</w:t>
      </w:r>
      <w:r>
        <w:rPr>
          <w:rFonts w:eastAsiaTheme="minorEastAsia"/>
          <w:bCs/>
          <w:noProof/>
          <w:sz w:val="20"/>
        </w:rPr>
        <w:t xml:space="preserve">, which is </w:t>
      </w:r>
      <w:r w:rsidR="00167387">
        <w:rPr>
          <w:rFonts w:eastAsiaTheme="minorEastAsia"/>
          <w:bCs/>
          <w:noProof/>
          <w:sz w:val="20"/>
        </w:rPr>
        <w:t xml:space="preserve">not </w:t>
      </w:r>
      <w:r>
        <w:rPr>
          <w:rFonts w:eastAsiaTheme="minorEastAsia"/>
          <w:bCs/>
          <w:noProof/>
          <w:sz w:val="20"/>
        </w:rPr>
        <w:t>in acceptable ranges.</w:t>
      </w:r>
    </w:p>
    <w:p w14:paraId="4ADD724E" w14:textId="754DFD3B" w:rsidR="00282DDC" w:rsidRDefault="00282DDC" w:rsidP="00282DDC">
      <w:pPr>
        <w:pStyle w:val="MDPI51figurecaption"/>
        <w:jc w:val="both"/>
        <w:rPr>
          <w:rFonts w:eastAsiaTheme="minorEastAsia"/>
          <w:bCs/>
          <w:noProof/>
          <w:sz w:val="20"/>
        </w:rPr>
      </w:pPr>
      <w:r>
        <w:rPr>
          <w:rFonts w:eastAsiaTheme="minorEastAsia"/>
          <w:bCs/>
          <w:noProof/>
          <w:sz w:val="20"/>
        </w:rPr>
        <w:t xml:space="preserve">Figure </w:t>
      </w:r>
      <w:r>
        <w:rPr>
          <w:rFonts w:eastAsiaTheme="minorEastAsia"/>
          <w:bCs/>
          <w:noProof/>
          <w:sz w:val="20"/>
        </w:rPr>
        <w:t>5</w:t>
      </w:r>
      <w:r>
        <w:rPr>
          <w:rFonts w:eastAsiaTheme="minorEastAsia"/>
          <w:bCs/>
          <w:noProof/>
          <w:sz w:val="20"/>
        </w:rPr>
        <w:t xml:space="preserve"> shows the contrast of the same formulating the Zipf’s Law. </w:t>
      </w:r>
    </w:p>
    <w:p w14:paraId="2C76F946" w14:textId="77777777" w:rsidR="00282DDC" w:rsidRDefault="00282DDC" w:rsidP="00282DDC">
      <w:pPr>
        <w:pStyle w:val="MDPI51figurecaption"/>
        <w:jc w:val="both"/>
        <w:rPr>
          <w:rFonts w:eastAsiaTheme="minorEastAsia"/>
          <w:bCs/>
          <w:noProof/>
          <w:sz w:val="20"/>
        </w:rPr>
      </w:pPr>
      <w:r w:rsidRPr="0049029D">
        <w:drawing>
          <wp:inline distT="0" distB="0" distL="0" distR="0" wp14:anchorId="6AC69DC5" wp14:editId="1F16EF20">
            <wp:extent cx="3744000" cy="2808000"/>
            <wp:effectExtent l="0" t="0" r="8890" b="0"/>
            <wp:docPr id="1971500044" name="Picture 19715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0044" name="Picture 1971500044"/>
                    <pic:cNvPicPr/>
                  </pic:nvPicPr>
                  <pic:blipFill>
                    <a:blip r:embed="rId22"/>
                    <a:stretch>
                      <a:fillRect/>
                    </a:stretch>
                  </pic:blipFill>
                  <pic:spPr>
                    <a:xfrm>
                      <a:off x="0" y="0"/>
                      <a:ext cx="3744000" cy="2808000"/>
                    </a:xfrm>
                    <a:prstGeom prst="rect">
                      <a:avLst/>
                    </a:prstGeom>
                  </pic:spPr>
                </pic:pic>
              </a:graphicData>
            </a:graphic>
          </wp:inline>
        </w:drawing>
      </w:r>
    </w:p>
    <w:p w14:paraId="7BC031C2" w14:textId="79A6264F" w:rsidR="00282DDC" w:rsidRDefault="00282DDC" w:rsidP="00282DDC">
      <w:pPr>
        <w:pStyle w:val="MDPI51figurecaption"/>
        <w:jc w:val="both"/>
      </w:pPr>
      <w:r w:rsidRPr="0049029D">
        <w:rPr>
          <w:b/>
        </w:rPr>
        <w:t xml:space="preserve">Figure </w:t>
      </w:r>
      <w:r>
        <w:rPr>
          <w:b/>
        </w:rPr>
        <w:t>5</w:t>
      </w:r>
      <w:r w:rsidRPr="0049029D">
        <w:rPr>
          <w:b/>
        </w:rPr>
        <w:t xml:space="preserve">. </w:t>
      </w:r>
      <w:r>
        <w:t>Contrast between Actual and Theoretical Probabilities taking into consideration, Daily</w:t>
      </w:r>
      <w:r>
        <w:t xml:space="preserve"> Closing</w:t>
      </w:r>
      <w:r>
        <w:t xml:space="preserve"> Price of the Silicon Valley Bank Stocks as per the Zipfian Distribution.</w:t>
      </w:r>
    </w:p>
    <w:p w14:paraId="2C702360" w14:textId="2D416A04" w:rsidR="00124D69" w:rsidRPr="00124D69" w:rsidRDefault="00124D69" w:rsidP="00124D69">
      <w:pPr>
        <w:pStyle w:val="MDPI51figurecaption"/>
        <w:jc w:val="both"/>
        <w:rPr>
          <w:bCs/>
          <w:sz w:val="20"/>
          <w:szCs w:val="22"/>
        </w:rPr>
      </w:pPr>
      <w:r w:rsidRPr="00124D69">
        <w:rPr>
          <w:bCs/>
          <w:sz w:val="20"/>
          <w:szCs w:val="22"/>
        </w:rPr>
        <w:t xml:space="preserve">Here, </w:t>
      </w:r>
      <w:r>
        <w:rPr>
          <w:bCs/>
          <w:sz w:val="20"/>
          <w:szCs w:val="22"/>
        </w:rPr>
        <w:t xml:space="preserve">the mean squared error turns out to be </w:t>
      </w:r>
      <w:r w:rsidR="000C2A84" w:rsidRPr="000C2A84">
        <w:rPr>
          <w:bCs/>
          <w:sz w:val="20"/>
          <w:szCs w:val="22"/>
        </w:rPr>
        <w:t>0.025886887426978263</w:t>
      </w:r>
      <w:r>
        <w:rPr>
          <w:bCs/>
          <w:sz w:val="20"/>
          <w:szCs w:val="22"/>
        </w:rPr>
        <w:t>, which is again a way behind than the permissible range.</w:t>
      </w:r>
    </w:p>
    <w:p w14:paraId="7AD72CE6" w14:textId="6A73D0B2" w:rsidR="00EF28FE" w:rsidRPr="002C410F" w:rsidRDefault="00EF28FE" w:rsidP="00EF28FE">
      <w:pPr>
        <w:pStyle w:val="MDPI21heading1"/>
        <w:numPr>
          <w:ilvl w:val="1"/>
          <w:numId w:val="42"/>
        </w:numPr>
        <w:rPr>
          <w:b w:val="0"/>
          <w:bCs/>
          <w:i/>
          <w:iCs/>
        </w:rPr>
      </w:pPr>
      <w:r>
        <w:rPr>
          <w:b w:val="0"/>
          <w:bCs/>
          <w:i/>
          <w:iCs/>
        </w:rPr>
        <w:t xml:space="preserve">The </w:t>
      </w:r>
      <w:r w:rsidR="00167387">
        <w:rPr>
          <w:b w:val="0"/>
          <w:bCs/>
          <w:i/>
          <w:iCs/>
        </w:rPr>
        <w:t xml:space="preserve">SVB </w:t>
      </w:r>
      <w:r>
        <w:rPr>
          <w:b w:val="0"/>
          <w:bCs/>
          <w:i/>
          <w:iCs/>
        </w:rPr>
        <w:t>Stock Price Highest Value</w:t>
      </w:r>
    </w:p>
    <w:p w14:paraId="2BE27B67" w14:textId="1A0F21BB" w:rsidR="00EF28FE" w:rsidRDefault="00EF28FE" w:rsidP="00EF28FE">
      <w:pPr>
        <w:pStyle w:val="ListParagraph"/>
        <w:spacing w:line="0" w:lineRule="atLeast"/>
        <w:ind w:left="2552"/>
        <w:rPr>
          <w:b/>
          <w:sz w:val="18"/>
          <w:szCs w:val="18"/>
        </w:rPr>
      </w:pPr>
      <w:r w:rsidRPr="00C200AE">
        <w:rPr>
          <w:rFonts w:eastAsiaTheme="minorEastAsia"/>
          <w:bCs/>
          <w:iCs/>
          <w:shd w:val="clear" w:color="auto" w:fill="FFFFFF"/>
        </w:rPr>
        <w:t xml:space="preserve">Table </w:t>
      </w:r>
      <w:r>
        <w:rPr>
          <w:rFonts w:eastAsiaTheme="minorEastAsia"/>
          <w:bCs/>
          <w:iCs/>
          <w:shd w:val="clear" w:color="auto" w:fill="FFFFFF"/>
        </w:rPr>
        <w:t>7</w:t>
      </w:r>
      <w:r w:rsidRPr="00C200AE">
        <w:rPr>
          <w:rFonts w:eastAsiaTheme="minorEastAsia"/>
          <w:bCs/>
          <w:iCs/>
          <w:shd w:val="clear" w:color="auto" w:fill="FFFFFF"/>
        </w:rPr>
        <w:t xml:space="preserve"> shows a few instances of the Stock </w:t>
      </w:r>
      <w:r>
        <w:rPr>
          <w:rFonts w:eastAsiaTheme="minorEastAsia"/>
          <w:bCs/>
          <w:iCs/>
          <w:shd w:val="clear" w:color="auto" w:fill="FFFFFF"/>
        </w:rPr>
        <w:t>Highest</w:t>
      </w:r>
      <w:r w:rsidRPr="00C200AE">
        <w:rPr>
          <w:rFonts w:eastAsiaTheme="minorEastAsia"/>
          <w:bCs/>
          <w:iCs/>
          <w:shd w:val="clear" w:color="auto" w:fill="FFFFFF"/>
        </w:rPr>
        <w:t xml:space="preserve"> Price between the time frame </w:t>
      </w:r>
      <w:r w:rsidR="00167387">
        <w:rPr>
          <w:rFonts w:eastAsiaTheme="minorEastAsia"/>
          <w:bCs/>
          <w:iCs/>
          <w:shd w:val="clear" w:color="auto" w:fill="FFFFFF"/>
        </w:rPr>
        <w:t>1987</w:t>
      </w:r>
      <w:r w:rsidRPr="00C200AE">
        <w:rPr>
          <w:rFonts w:eastAsiaTheme="minorEastAsia"/>
          <w:bCs/>
          <w:iCs/>
          <w:shd w:val="clear" w:color="auto" w:fill="FFFFFF"/>
        </w:rPr>
        <w:t xml:space="preserve"> – 2023.</w:t>
      </w:r>
      <w:r w:rsidRPr="00633F77">
        <w:rPr>
          <w:rFonts w:eastAsiaTheme="minorEastAsia"/>
          <w:bCs/>
          <w:iCs/>
          <w:shd w:val="clear" w:color="auto" w:fill="FFFFFF"/>
        </w:rPr>
        <w:t xml:space="preserve"> </w:t>
      </w:r>
    </w:p>
    <w:p w14:paraId="2AA4F4F6" w14:textId="77777777" w:rsidR="00EF28FE" w:rsidRDefault="00EF28FE" w:rsidP="00EF28FE">
      <w:pPr>
        <w:pStyle w:val="ListParagraph"/>
        <w:spacing w:line="0" w:lineRule="atLeast"/>
        <w:ind w:left="2552"/>
        <w:rPr>
          <w:b/>
          <w:sz w:val="18"/>
          <w:szCs w:val="18"/>
        </w:rPr>
      </w:pPr>
    </w:p>
    <w:p w14:paraId="15565357" w14:textId="0D0EE248"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7</w:t>
      </w:r>
      <w:r w:rsidRPr="002C410F">
        <w:rPr>
          <w:b/>
          <w:sz w:val="18"/>
          <w:szCs w:val="18"/>
        </w:rPr>
        <w:t xml:space="preserve">. </w:t>
      </w:r>
      <w:r>
        <w:rPr>
          <w:bCs/>
          <w:sz w:val="18"/>
          <w:szCs w:val="18"/>
        </w:rPr>
        <w:t xml:space="preserve">Stock Highest Price for </w:t>
      </w:r>
      <w:r w:rsidR="00167387" w:rsidRPr="00167387">
        <w:rPr>
          <w:bCs/>
          <w:sz w:val="18"/>
          <w:szCs w:val="18"/>
        </w:rPr>
        <w:t>Silicon Valley Bank</w:t>
      </w:r>
    </w:p>
    <w:p w14:paraId="2BC7FF82"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0BAEC23A" w14:textId="77777777" w:rsidTr="009D2915">
        <w:tc>
          <w:tcPr>
            <w:tcW w:w="3855" w:type="dxa"/>
            <w:tcBorders>
              <w:bottom w:val="single" w:sz="4" w:space="0" w:color="auto"/>
            </w:tcBorders>
            <w:shd w:val="clear" w:color="auto" w:fill="auto"/>
          </w:tcPr>
          <w:p w14:paraId="32A1DBF8" w14:textId="77777777" w:rsidR="00EF28FE" w:rsidRPr="008721B1" w:rsidRDefault="00EF28FE" w:rsidP="009D2915">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06808659" w14:textId="77777777" w:rsidR="00EF28FE" w:rsidRPr="008721B1" w:rsidRDefault="00EF28FE" w:rsidP="009D2915">
            <w:pPr>
              <w:adjustRightInd w:val="0"/>
              <w:snapToGrid w:val="0"/>
              <w:jc w:val="left"/>
              <w:rPr>
                <w:b/>
                <w:bCs/>
                <w:noProof w:val="0"/>
              </w:rPr>
            </w:pPr>
            <w:r>
              <w:rPr>
                <w:b/>
                <w:bCs/>
              </w:rPr>
              <w:t>Stock Opening Price (USD)</w:t>
            </w:r>
          </w:p>
        </w:tc>
      </w:tr>
      <w:tr w:rsidR="00FB43C4" w:rsidRPr="0049029D" w14:paraId="0E3D16D5" w14:textId="77777777" w:rsidTr="009D2915">
        <w:tc>
          <w:tcPr>
            <w:tcW w:w="3855" w:type="dxa"/>
            <w:shd w:val="clear" w:color="auto" w:fill="auto"/>
          </w:tcPr>
          <w:p w14:paraId="4A5DDFE5" w14:textId="3DBCBE74" w:rsidR="00FB43C4" w:rsidRPr="0049029D" w:rsidRDefault="00FB43C4" w:rsidP="00FB43C4">
            <w:pPr>
              <w:adjustRightInd w:val="0"/>
              <w:snapToGrid w:val="0"/>
              <w:jc w:val="left"/>
              <w:rPr>
                <w:noProof w:val="0"/>
              </w:rPr>
            </w:pPr>
            <w:r w:rsidRPr="00C54625">
              <w:t>26-10-1987</w:t>
            </w:r>
          </w:p>
        </w:tc>
        <w:tc>
          <w:tcPr>
            <w:tcW w:w="3855" w:type="dxa"/>
            <w:shd w:val="clear" w:color="auto" w:fill="auto"/>
          </w:tcPr>
          <w:p w14:paraId="0E633035" w14:textId="04A67486" w:rsidR="00FB43C4" w:rsidRPr="0049029D" w:rsidRDefault="00FB43C4" w:rsidP="00FB43C4">
            <w:pPr>
              <w:adjustRightInd w:val="0"/>
              <w:snapToGrid w:val="0"/>
              <w:jc w:val="left"/>
              <w:rPr>
                <w:noProof w:val="0"/>
              </w:rPr>
            </w:pPr>
            <w:r w:rsidRPr="00C54625">
              <w:t>0.84353</w:t>
            </w:r>
          </w:p>
        </w:tc>
      </w:tr>
      <w:tr w:rsidR="00FB43C4" w:rsidRPr="0049029D" w14:paraId="0C0A80EF" w14:textId="77777777" w:rsidTr="009D2915">
        <w:tc>
          <w:tcPr>
            <w:tcW w:w="3855" w:type="dxa"/>
            <w:shd w:val="clear" w:color="auto" w:fill="auto"/>
          </w:tcPr>
          <w:p w14:paraId="58A197FC" w14:textId="6B119FEA" w:rsidR="00FB43C4" w:rsidRPr="0049029D" w:rsidRDefault="00FB43C4" w:rsidP="00FB43C4">
            <w:pPr>
              <w:adjustRightInd w:val="0"/>
              <w:snapToGrid w:val="0"/>
              <w:jc w:val="left"/>
              <w:rPr>
                <w:noProof w:val="0"/>
              </w:rPr>
            </w:pPr>
            <w:r w:rsidRPr="00C54625">
              <w:t>27-10-1987</w:t>
            </w:r>
          </w:p>
        </w:tc>
        <w:tc>
          <w:tcPr>
            <w:tcW w:w="3855" w:type="dxa"/>
            <w:shd w:val="clear" w:color="auto" w:fill="auto"/>
          </w:tcPr>
          <w:p w14:paraId="4A5077A3" w14:textId="510AE72F" w:rsidR="00FB43C4" w:rsidRPr="0049029D" w:rsidRDefault="00FB43C4" w:rsidP="00FB43C4">
            <w:pPr>
              <w:adjustRightInd w:val="0"/>
              <w:snapToGrid w:val="0"/>
              <w:jc w:val="left"/>
              <w:rPr>
                <w:noProof w:val="0"/>
              </w:rPr>
            </w:pPr>
            <w:r w:rsidRPr="00C54625">
              <w:t>0.84353</w:t>
            </w:r>
          </w:p>
        </w:tc>
      </w:tr>
      <w:tr w:rsidR="00FB43C4" w:rsidRPr="0049029D" w14:paraId="700E02D4" w14:textId="77777777" w:rsidTr="009D2915">
        <w:tc>
          <w:tcPr>
            <w:tcW w:w="3855" w:type="dxa"/>
            <w:shd w:val="clear" w:color="auto" w:fill="auto"/>
          </w:tcPr>
          <w:p w14:paraId="0A0106B4" w14:textId="6BB27D4F" w:rsidR="00FB43C4" w:rsidRPr="0049029D" w:rsidRDefault="00FB43C4" w:rsidP="00FB43C4">
            <w:pPr>
              <w:adjustRightInd w:val="0"/>
              <w:snapToGrid w:val="0"/>
              <w:jc w:val="left"/>
              <w:rPr>
                <w:noProof w:val="0"/>
              </w:rPr>
            </w:pPr>
            <w:r w:rsidRPr="00C54625">
              <w:t>28-10-1987</w:t>
            </w:r>
          </w:p>
        </w:tc>
        <w:tc>
          <w:tcPr>
            <w:tcW w:w="3855" w:type="dxa"/>
            <w:shd w:val="clear" w:color="auto" w:fill="auto"/>
          </w:tcPr>
          <w:p w14:paraId="646ACB81" w14:textId="37869F5C" w:rsidR="00FB43C4" w:rsidRPr="0049029D" w:rsidRDefault="00FB43C4" w:rsidP="00FB43C4">
            <w:pPr>
              <w:adjustRightInd w:val="0"/>
              <w:snapToGrid w:val="0"/>
              <w:jc w:val="left"/>
              <w:rPr>
                <w:noProof w:val="0"/>
              </w:rPr>
            </w:pPr>
            <w:r w:rsidRPr="00C54625">
              <w:t>0</w:t>
            </w:r>
          </w:p>
        </w:tc>
      </w:tr>
      <w:tr w:rsidR="00FB43C4" w:rsidRPr="0049029D" w14:paraId="6593D94B" w14:textId="77777777" w:rsidTr="009D2915">
        <w:tc>
          <w:tcPr>
            <w:tcW w:w="3855" w:type="dxa"/>
            <w:shd w:val="clear" w:color="auto" w:fill="auto"/>
          </w:tcPr>
          <w:p w14:paraId="648F7F97" w14:textId="01AAB0F1" w:rsidR="00FB43C4" w:rsidRPr="00DE29B0" w:rsidRDefault="00FB43C4" w:rsidP="00FB43C4">
            <w:pPr>
              <w:adjustRightInd w:val="0"/>
              <w:snapToGrid w:val="0"/>
              <w:jc w:val="left"/>
            </w:pPr>
            <w:r w:rsidRPr="00C54625">
              <w:t>29-10-1987</w:t>
            </w:r>
          </w:p>
        </w:tc>
        <w:tc>
          <w:tcPr>
            <w:tcW w:w="3855" w:type="dxa"/>
            <w:shd w:val="clear" w:color="auto" w:fill="auto"/>
          </w:tcPr>
          <w:p w14:paraId="701EB85E" w14:textId="5F9E45E0" w:rsidR="00FB43C4" w:rsidRPr="00DE29B0" w:rsidRDefault="00FB43C4" w:rsidP="00FB43C4">
            <w:pPr>
              <w:adjustRightInd w:val="0"/>
              <w:snapToGrid w:val="0"/>
              <w:jc w:val="left"/>
            </w:pPr>
            <w:r w:rsidRPr="00C54625">
              <w:t>0.84353</w:t>
            </w:r>
          </w:p>
        </w:tc>
      </w:tr>
      <w:tr w:rsidR="00FB43C4" w:rsidRPr="0049029D" w14:paraId="4E3DFE50" w14:textId="77777777" w:rsidTr="009D2915">
        <w:tc>
          <w:tcPr>
            <w:tcW w:w="3855" w:type="dxa"/>
            <w:shd w:val="clear" w:color="auto" w:fill="auto"/>
          </w:tcPr>
          <w:p w14:paraId="740408DB" w14:textId="4AFF467A" w:rsidR="00FB43C4" w:rsidRPr="00D21F27" w:rsidRDefault="00FB43C4" w:rsidP="00FB43C4">
            <w:pPr>
              <w:adjustRightInd w:val="0"/>
              <w:snapToGrid w:val="0"/>
              <w:jc w:val="left"/>
            </w:pPr>
            <w:r w:rsidRPr="00C54625">
              <w:t>30-10-1987</w:t>
            </w:r>
          </w:p>
        </w:tc>
        <w:tc>
          <w:tcPr>
            <w:tcW w:w="3855" w:type="dxa"/>
            <w:shd w:val="clear" w:color="auto" w:fill="auto"/>
          </w:tcPr>
          <w:p w14:paraId="59D4A800" w14:textId="2A252890" w:rsidR="00FB43C4" w:rsidRPr="00A54569" w:rsidRDefault="00FB43C4" w:rsidP="00FB43C4">
            <w:pPr>
              <w:adjustRightInd w:val="0"/>
              <w:snapToGrid w:val="0"/>
              <w:jc w:val="left"/>
            </w:pPr>
            <w:r w:rsidRPr="00C54625">
              <w:t>0.84353</w:t>
            </w:r>
          </w:p>
        </w:tc>
      </w:tr>
      <w:tr w:rsidR="00FB43C4" w:rsidRPr="0049029D" w14:paraId="534EA9DA" w14:textId="77777777" w:rsidTr="009D2915">
        <w:tc>
          <w:tcPr>
            <w:tcW w:w="3855" w:type="dxa"/>
            <w:shd w:val="clear" w:color="auto" w:fill="auto"/>
          </w:tcPr>
          <w:p w14:paraId="3B5215A2" w14:textId="70FEC371" w:rsidR="00FB43C4" w:rsidRPr="00D21F27" w:rsidRDefault="00FB43C4" w:rsidP="00FB43C4">
            <w:pPr>
              <w:adjustRightInd w:val="0"/>
              <w:snapToGrid w:val="0"/>
              <w:jc w:val="left"/>
            </w:pPr>
            <w:r w:rsidRPr="00C54625">
              <w:t>02-11-1987</w:t>
            </w:r>
          </w:p>
        </w:tc>
        <w:tc>
          <w:tcPr>
            <w:tcW w:w="3855" w:type="dxa"/>
            <w:shd w:val="clear" w:color="auto" w:fill="auto"/>
          </w:tcPr>
          <w:p w14:paraId="5714C822" w14:textId="2D9D2955" w:rsidR="00FB43C4" w:rsidRPr="00A54569" w:rsidRDefault="00FB43C4" w:rsidP="00FB43C4">
            <w:pPr>
              <w:adjustRightInd w:val="0"/>
              <w:snapToGrid w:val="0"/>
              <w:jc w:val="left"/>
            </w:pPr>
            <w:r w:rsidRPr="00C54625">
              <w:t>0.772647</w:t>
            </w:r>
          </w:p>
        </w:tc>
      </w:tr>
      <w:tr w:rsidR="00FB43C4" w:rsidRPr="0049029D" w14:paraId="72DD00EF" w14:textId="77777777" w:rsidTr="009D2915">
        <w:tc>
          <w:tcPr>
            <w:tcW w:w="3855" w:type="dxa"/>
            <w:shd w:val="clear" w:color="auto" w:fill="auto"/>
          </w:tcPr>
          <w:p w14:paraId="0BD6E072" w14:textId="2CA1A7B1" w:rsidR="00FB43C4" w:rsidRPr="00D21F27" w:rsidRDefault="00FB43C4" w:rsidP="00FB43C4">
            <w:pPr>
              <w:adjustRightInd w:val="0"/>
              <w:snapToGrid w:val="0"/>
              <w:jc w:val="left"/>
            </w:pPr>
            <w:r w:rsidRPr="00C54625">
              <w:t>03-11-1987</w:t>
            </w:r>
          </w:p>
        </w:tc>
        <w:tc>
          <w:tcPr>
            <w:tcW w:w="3855" w:type="dxa"/>
            <w:shd w:val="clear" w:color="auto" w:fill="auto"/>
          </w:tcPr>
          <w:p w14:paraId="4D6D3D7F" w14:textId="4B619210" w:rsidR="00FB43C4" w:rsidRPr="00A54569" w:rsidRDefault="00FB43C4" w:rsidP="00FB43C4">
            <w:pPr>
              <w:adjustRightInd w:val="0"/>
              <w:snapToGrid w:val="0"/>
              <w:jc w:val="left"/>
            </w:pPr>
            <w:r w:rsidRPr="00C54625">
              <w:t>0.772647</w:t>
            </w:r>
          </w:p>
        </w:tc>
      </w:tr>
      <w:tr w:rsidR="00FB43C4" w:rsidRPr="0049029D" w14:paraId="4F2DC750" w14:textId="77777777" w:rsidTr="009D2915">
        <w:tc>
          <w:tcPr>
            <w:tcW w:w="3855" w:type="dxa"/>
            <w:shd w:val="clear" w:color="auto" w:fill="auto"/>
          </w:tcPr>
          <w:p w14:paraId="2379BBD3" w14:textId="5B5AE739" w:rsidR="00FB43C4" w:rsidRPr="00D21F27" w:rsidRDefault="00FB43C4" w:rsidP="00FB43C4">
            <w:pPr>
              <w:adjustRightInd w:val="0"/>
              <w:snapToGrid w:val="0"/>
              <w:jc w:val="left"/>
            </w:pPr>
            <w:r w:rsidRPr="00C54625">
              <w:t>04-11-1987</w:t>
            </w:r>
          </w:p>
        </w:tc>
        <w:tc>
          <w:tcPr>
            <w:tcW w:w="3855" w:type="dxa"/>
            <w:shd w:val="clear" w:color="auto" w:fill="auto"/>
          </w:tcPr>
          <w:p w14:paraId="10274FD1" w14:textId="523B9668" w:rsidR="00FB43C4" w:rsidRPr="00A54569" w:rsidRDefault="00FB43C4" w:rsidP="00FB43C4">
            <w:pPr>
              <w:adjustRightInd w:val="0"/>
              <w:snapToGrid w:val="0"/>
              <w:jc w:val="left"/>
            </w:pPr>
            <w:r w:rsidRPr="00C54625">
              <w:t>0.751429</w:t>
            </w:r>
          </w:p>
        </w:tc>
      </w:tr>
      <w:tr w:rsidR="00FB43C4" w:rsidRPr="0049029D" w14:paraId="7B59A5F6" w14:textId="77777777" w:rsidTr="009D2915">
        <w:tc>
          <w:tcPr>
            <w:tcW w:w="3855" w:type="dxa"/>
            <w:shd w:val="clear" w:color="auto" w:fill="auto"/>
          </w:tcPr>
          <w:p w14:paraId="2A441F5B" w14:textId="247CC9D1" w:rsidR="00FB43C4" w:rsidRPr="00D21F27" w:rsidRDefault="00FB43C4" w:rsidP="00FB43C4">
            <w:pPr>
              <w:adjustRightInd w:val="0"/>
              <w:snapToGrid w:val="0"/>
              <w:jc w:val="left"/>
            </w:pPr>
            <w:r w:rsidRPr="00C54625">
              <w:t>05-11-1987</w:t>
            </w:r>
          </w:p>
        </w:tc>
        <w:tc>
          <w:tcPr>
            <w:tcW w:w="3855" w:type="dxa"/>
            <w:shd w:val="clear" w:color="auto" w:fill="auto"/>
          </w:tcPr>
          <w:p w14:paraId="1273B0FD" w14:textId="42C085DD" w:rsidR="00FB43C4" w:rsidRPr="00A54569" w:rsidRDefault="00FB43C4" w:rsidP="00FB43C4">
            <w:pPr>
              <w:adjustRightInd w:val="0"/>
              <w:snapToGrid w:val="0"/>
              <w:jc w:val="left"/>
            </w:pPr>
            <w:r w:rsidRPr="00C54625">
              <w:t>0.751429</w:t>
            </w:r>
          </w:p>
        </w:tc>
      </w:tr>
      <w:tr w:rsidR="00FB43C4" w:rsidRPr="0049029D" w14:paraId="1BC7D8C9" w14:textId="77777777" w:rsidTr="009D2915">
        <w:tc>
          <w:tcPr>
            <w:tcW w:w="3855" w:type="dxa"/>
            <w:shd w:val="clear" w:color="auto" w:fill="auto"/>
          </w:tcPr>
          <w:p w14:paraId="3940B638" w14:textId="1244B571" w:rsidR="00FB43C4" w:rsidRPr="00D21F27" w:rsidRDefault="00FB43C4" w:rsidP="00FB43C4">
            <w:pPr>
              <w:adjustRightInd w:val="0"/>
              <w:snapToGrid w:val="0"/>
              <w:jc w:val="left"/>
            </w:pPr>
            <w:r w:rsidRPr="00C54625">
              <w:t>06-11-1987</w:t>
            </w:r>
          </w:p>
        </w:tc>
        <w:tc>
          <w:tcPr>
            <w:tcW w:w="3855" w:type="dxa"/>
            <w:shd w:val="clear" w:color="auto" w:fill="auto"/>
          </w:tcPr>
          <w:p w14:paraId="029B52E5" w14:textId="76E30AF4" w:rsidR="00FB43C4" w:rsidRPr="00A54569" w:rsidRDefault="00FB43C4" w:rsidP="00FB43C4">
            <w:pPr>
              <w:adjustRightInd w:val="0"/>
              <w:snapToGrid w:val="0"/>
              <w:jc w:val="left"/>
            </w:pPr>
            <w:r w:rsidRPr="00C54625">
              <w:t>0</w:t>
            </w:r>
          </w:p>
        </w:tc>
      </w:tr>
      <w:tr w:rsidR="00EF28FE" w:rsidRPr="0049029D" w14:paraId="162BA09D" w14:textId="77777777" w:rsidTr="009D2915">
        <w:tc>
          <w:tcPr>
            <w:tcW w:w="3855" w:type="dxa"/>
            <w:shd w:val="clear" w:color="auto" w:fill="auto"/>
          </w:tcPr>
          <w:p w14:paraId="5CD45656" w14:textId="77777777" w:rsidR="00EF28FE" w:rsidRPr="00D21F27" w:rsidRDefault="00EF28FE" w:rsidP="009D2915">
            <w:pPr>
              <w:adjustRightInd w:val="0"/>
              <w:snapToGrid w:val="0"/>
              <w:jc w:val="left"/>
            </w:pPr>
            <w:r>
              <w:t>…</w:t>
            </w:r>
          </w:p>
        </w:tc>
        <w:tc>
          <w:tcPr>
            <w:tcW w:w="3855" w:type="dxa"/>
            <w:shd w:val="clear" w:color="auto" w:fill="auto"/>
          </w:tcPr>
          <w:p w14:paraId="5900FE60" w14:textId="77777777" w:rsidR="00EF28FE" w:rsidRPr="00A54569" w:rsidRDefault="00EF28FE" w:rsidP="009D2915">
            <w:pPr>
              <w:adjustRightInd w:val="0"/>
              <w:snapToGrid w:val="0"/>
              <w:jc w:val="left"/>
            </w:pPr>
            <w:r>
              <w:t>…</w:t>
            </w:r>
          </w:p>
        </w:tc>
      </w:tr>
      <w:tr w:rsidR="00FB43C4" w:rsidRPr="0049029D" w14:paraId="37EBC214" w14:textId="77777777" w:rsidTr="009D2915">
        <w:tc>
          <w:tcPr>
            <w:tcW w:w="3855" w:type="dxa"/>
            <w:shd w:val="clear" w:color="auto" w:fill="auto"/>
          </w:tcPr>
          <w:p w14:paraId="22BD648E" w14:textId="4762E868" w:rsidR="00FB43C4" w:rsidRPr="00D21F27" w:rsidRDefault="00FB43C4" w:rsidP="00FB43C4">
            <w:pPr>
              <w:adjustRightInd w:val="0"/>
              <w:snapToGrid w:val="0"/>
              <w:jc w:val="left"/>
            </w:pPr>
            <w:r w:rsidRPr="00042C69">
              <w:t>03-03-2023</w:t>
            </w:r>
          </w:p>
        </w:tc>
        <w:tc>
          <w:tcPr>
            <w:tcW w:w="3855" w:type="dxa"/>
            <w:shd w:val="clear" w:color="auto" w:fill="auto"/>
          </w:tcPr>
          <w:p w14:paraId="56C753EE" w14:textId="5786F910" w:rsidR="00FB43C4" w:rsidRPr="00A54569" w:rsidRDefault="00FB43C4" w:rsidP="00FB43C4">
            <w:pPr>
              <w:adjustRightInd w:val="0"/>
              <w:snapToGrid w:val="0"/>
              <w:jc w:val="left"/>
            </w:pPr>
            <w:r w:rsidRPr="00042C69">
              <w:t>285.5</w:t>
            </w:r>
          </w:p>
        </w:tc>
      </w:tr>
      <w:tr w:rsidR="00FB43C4" w:rsidRPr="0049029D" w14:paraId="42B1F9BF" w14:textId="77777777" w:rsidTr="009D2915">
        <w:tc>
          <w:tcPr>
            <w:tcW w:w="3855" w:type="dxa"/>
            <w:shd w:val="clear" w:color="auto" w:fill="auto"/>
          </w:tcPr>
          <w:p w14:paraId="6A815354" w14:textId="5811E543" w:rsidR="00FB43C4" w:rsidRPr="00D21F27" w:rsidRDefault="00FB43C4" w:rsidP="00FB43C4">
            <w:pPr>
              <w:adjustRightInd w:val="0"/>
              <w:snapToGrid w:val="0"/>
              <w:jc w:val="left"/>
            </w:pPr>
            <w:r w:rsidRPr="00042C69">
              <w:t>06-03-2023</w:t>
            </w:r>
          </w:p>
        </w:tc>
        <w:tc>
          <w:tcPr>
            <w:tcW w:w="3855" w:type="dxa"/>
            <w:shd w:val="clear" w:color="auto" w:fill="auto"/>
          </w:tcPr>
          <w:p w14:paraId="7E66A417" w14:textId="11AA7CBF" w:rsidR="00FB43C4" w:rsidRPr="00A54569" w:rsidRDefault="00FB43C4" w:rsidP="00FB43C4">
            <w:pPr>
              <w:adjustRightInd w:val="0"/>
              <w:snapToGrid w:val="0"/>
              <w:jc w:val="left"/>
            </w:pPr>
            <w:r w:rsidRPr="00042C69">
              <w:t>286.519989</w:t>
            </w:r>
          </w:p>
        </w:tc>
      </w:tr>
      <w:tr w:rsidR="00FB43C4" w:rsidRPr="0049029D" w14:paraId="20AA81B9" w14:textId="77777777" w:rsidTr="009D2915">
        <w:tc>
          <w:tcPr>
            <w:tcW w:w="3855" w:type="dxa"/>
            <w:shd w:val="clear" w:color="auto" w:fill="auto"/>
          </w:tcPr>
          <w:p w14:paraId="40C6E3BC" w14:textId="5AF51F44" w:rsidR="00FB43C4" w:rsidRPr="00D21F27" w:rsidRDefault="00FB43C4" w:rsidP="00FB43C4">
            <w:pPr>
              <w:adjustRightInd w:val="0"/>
              <w:snapToGrid w:val="0"/>
              <w:jc w:val="left"/>
            </w:pPr>
            <w:r w:rsidRPr="00042C69">
              <w:t>07-03-2023</w:t>
            </w:r>
          </w:p>
        </w:tc>
        <w:tc>
          <w:tcPr>
            <w:tcW w:w="3855" w:type="dxa"/>
            <w:shd w:val="clear" w:color="auto" w:fill="auto"/>
          </w:tcPr>
          <w:p w14:paraId="291B8AD9" w14:textId="657C2F51" w:rsidR="00FB43C4" w:rsidRPr="00A54569" w:rsidRDefault="00FB43C4" w:rsidP="00FB43C4">
            <w:pPr>
              <w:adjustRightInd w:val="0"/>
              <w:snapToGrid w:val="0"/>
              <w:jc w:val="left"/>
            </w:pPr>
            <w:r w:rsidRPr="00042C69">
              <w:t>283.079987</w:t>
            </w:r>
          </w:p>
        </w:tc>
      </w:tr>
      <w:tr w:rsidR="00FB43C4" w:rsidRPr="0049029D" w14:paraId="79F881CC" w14:textId="77777777" w:rsidTr="009D2915">
        <w:tc>
          <w:tcPr>
            <w:tcW w:w="3855" w:type="dxa"/>
            <w:shd w:val="clear" w:color="auto" w:fill="auto"/>
          </w:tcPr>
          <w:p w14:paraId="483F5658" w14:textId="18514257" w:rsidR="00FB43C4" w:rsidRPr="00D21F27" w:rsidRDefault="00FB43C4" w:rsidP="00FB43C4">
            <w:pPr>
              <w:adjustRightInd w:val="0"/>
              <w:snapToGrid w:val="0"/>
              <w:jc w:val="left"/>
            </w:pPr>
            <w:r w:rsidRPr="00042C69">
              <w:t>08-03-2023</w:t>
            </w:r>
          </w:p>
        </w:tc>
        <w:tc>
          <w:tcPr>
            <w:tcW w:w="3855" w:type="dxa"/>
            <w:shd w:val="clear" w:color="auto" w:fill="auto"/>
          </w:tcPr>
          <w:p w14:paraId="40E05A64" w14:textId="1CD58613" w:rsidR="00FB43C4" w:rsidRPr="00A54569" w:rsidRDefault="00FB43C4" w:rsidP="00FB43C4">
            <w:pPr>
              <w:adjustRightInd w:val="0"/>
              <w:snapToGrid w:val="0"/>
              <w:jc w:val="left"/>
            </w:pPr>
            <w:r w:rsidRPr="00042C69">
              <w:t>271.01001</w:t>
            </w:r>
          </w:p>
        </w:tc>
      </w:tr>
      <w:tr w:rsidR="00FB43C4" w:rsidRPr="0049029D" w14:paraId="0986BB14" w14:textId="77777777" w:rsidTr="009D2915">
        <w:tc>
          <w:tcPr>
            <w:tcW w:w="3855" w:type="dxa"/>
            <w:shd w:val="clear" w:color="auto" w:fill="auto"/>
          </w:tcPr>
          <w:p w14:paraId="4D985649" w14:textId="018D67DD" w:rsidR="00FB43C4" w:rsidRPr="00D21F27" w:rsidRDefault="00FB43C4" w:rsidP="00FB43C4">
            <w:pPr>
              <w:adjustRightInd w:val="0"/>
              <w:snapToGrid w:val="0"/>
              <w:jc w:val="left"/>
            </w:pPr>
            <w:r w:rsidRPr="00042C69">
              <w:lastRenderedPageBreak/>
              <w:t>09-03-2023</w:t>
            </w:r>
          </w:p>
        </w:tc>
        <w:tc>
          <w:tcPr>
            <w:tcW w:w="3855" w:type="dxa"/>
            <w:shd w:val="clear" w:color="auto" w:fill="auto"/>
          </w:tcPr>
          <w:p w14:paraId="68330D01" w14:textId="3BB54FBB" w:rsidR="00FB43C4" w:rsidRPr="00A54569" w:rsidRDefault="00FB43C4" w:rsidP="00FB43C4">
            <w:pPr>
              <w:adjustRightInd w:val="0"/>
              <w:snapToGrid w:val="0"/>
              <w:jc w:val="left"/>
            </w:pPr>
            <w:r w:rsidRPr="00042C69">
              <w:t>177.749893</w:t>
            </w:r>
          </w:p>
        </w:tc>
      </w:tr>
      <w:tr w:rsidR="00FB43C4" w:rsidRPr="0049029D" w14:paraId="2ECF4EB0" w14:textId="77777777" w:rsidTr="009D2915">
        <w:tc>
          <w:tcPr>
            <w:tcW w:w="3855" w:type="dxa"/>
            <w:shd w:val="clear" w:color="auto" w:fill="auto"/>
          </w:tcPr>
          <w:p w14:paraId="10C3AE55" w14:textId="3925E7FB" w:rsidR="00FB43C4" w:rsidRPr="00D21F27" w:rsidRDefault="00FB43C4" w:rsidP="00FB43C4">
            <w:pPr>
              <w:adjustRightInd w:val="0"/>
              <w:snapToGrid w:val="0"/>
              <w:jc w:val="left"/>
            </w:pPr>
            <w:r w:rsidRPr="00042C69">
              <w:t>10-03-2023</w:t>
            </w:r>
          </w:p>
        </w:tc>
        <w:tc>
          <w:tcPr>
            <w:tcW w:w="3855" w:type="dxa"/>
            <w:shd w:val="clear" w:color="auto" w:fill="auto"/>
          </w:tcPr>
          <w:p w14:paraId="3E03B1F8" w14:textId="2D1554F5" w:rsidR="00FB43C4" w:rsidRPr="00A54569" w:rsidRDefault="00FB43C4" w:rsidP="00FB43C4">
            <w:pPr>
              <w:adjustRightInd w:val="0"/>
              <w:snapToGrid w:val="0"/>
              <w:jc w:val="left"/>
            </w:pPr>
            <w:r w:rsidRPr="00042C69">
              <w:t>106.040001</w:t>
            </w:r>
          </w:p>
        </w:tc>
      </w:tr>
      <w:tr w:rsidR="00FB43C4" w:rsidRPr="0049029D" w14:paraId="3D802230" w14:textId="77777777" w:rsidTr="009D2915">
        <w:tc>
          <w:tcPr>
            <w:tcW w:w="3855" w:type="dxa"/>
            <w:shd w:val="clear" w:color="auto" w:fill="auto"/>
          </w:tcPr>
          <w:p w14:paraId="620A7660" w14:textId="25D91098" w:rsidR="00FB43C4" w:rsidRPr="00D21F27" w:rsidRDefault="00FB43C4" w:rsidP="00FB43C4">
            <w:pPr>
              <w:adjustRightInd w:val="0"/>
              <w:snapToGrid w:val="0"/>
              <w:jc w:val="left"/>
            </w:pPr>
            <w:r w:rsidRPr="00042C69">
              <w:t>13-03-2023</w:t>
            </w:r>
          </w:p>
        </w:tc>
        <w:tc>
          <w:tcPr>
            <w:tcW w:w="3855" w:type="dxa"/>
            <w:shd w:val="clear" w:color="auto" w:fill="auto"/>
          </w:tcPr>
          <w:p w14:paraId="466C22CE" w14:textId="26F67736" w:rsidR="00FB43C4" w:rsidRPr="00A54569" w:rsidRDefault="00FB43C4" w:rsidP="00FB43C4">
            <w:pPr>
              <w:adjustRightInd w:val="0"/>
              <w:snapToGrid w:val="0"/>
              <w:jc w:val="left"/>
            </w:pPr>
            <w:r w:rsidRPr="00042C69">
              <w:t>106.040001</w:t>
            </w:r>
          </w:p>
        </w:tc>
      </w:tr>
      <w:tr w:rsidR="00FB43C4" w:rsidRPr="0049029D" w14:paraId="43909AF4" w14:textId="77777777" w:rsidTr="009D2915">
        <w:tc>
          <w:tcPr>
            <w:tcW w:w="3855" w:type="dxa"/>
            <w:shd w:val="clear" w:color="auto" w:fill="auto"/>
          </w:tcPr>
          <w:p w14:paraId="77AC4DBF" w14:textId="62E1618E" w:rsidR="00FB43C4" w:rsidRPr="00D21F27" w:rsidRDefault="00FB43C4" w:rsidP="00FB43C4">
            <w:pPr>
              <w:adjustRightInd w:val="0"/>
              <w:snapToGrid w:val="0"/>
              <w:jc w:val="left"/>
            </w:pPr>
            <w:r w:rsidRPr="00042C69">
              <w:t>14-03-2023</w:t>
            </w:r>
          </w:p>
        </w:tc>
        <w:tc>
          <w:tcPr>
            <w:tcW w:w="3855" w:type="dxa"/>
            <w:shd w:val="clear" w:color="auto" w:fill="auto"/>
          </w:tcPr>
          <w:p w14:paraId="282F8F13" w14:textId="7084F00A" w:rsidR="00FB43C4" w:rsidRPr="00A54569" w:rsidRDefault="00FB43C4" w:rsidP="00FB43C4">
            <w:pPr>
              <w:adjustRightInd w:val="0"/>
              <w:snapToGrid w:val="0"/>
              <w:jc w:val="left"/>
            </w:pPr>
            <w:r w:rsidRPr="00042C69">
              <w:t>106.040001</w:t>
            </w:r>
          </w:p>
        </w:tc>
      </w:tr>
      <w:tr w:rsidR="00FB43C4" w:rsidRPr="0049029D" w14:paraId="5229CB1D" w14:textId="77777777" w:rsidTr="009D2915">
        <w:tc>
          <w:tcPr>
            <w:tcW w:w="3855" w:type="dxa"/>
            <w:shd w:val="clear" w:color="auto" w:fill="auto"/>
          </w:tcPr>
          <w:p w14:paraId="1D954E52" w14:textId="223209A2" w:rsidR="00FB43C4" w:rsidRPr="00D21F27" w:rsidRDefault="00FB43C4" w:rsidP="00FB43C4">
            <w:pPr>
              <w:adjustRightInd w:val="0"/>
              <w:snapToGrid w:val="0"/>
              <w:jc w:val="left"/>
            </w:pPr>
            <w:r w:rsidRPr="00042C69">
              <w:t>15-03-2023</w:t>
            </w:r>
          </w:p>
        </w:tc>
        <w:tc>
          <w:tcPr>
            <w:tcW w:w="3855" w:type="dxa"/>
            <w:shd w:val="clear" w:color="auto" w:fill="auto"/>
          </w:tcPr>
          <w:p w14:paraId="03EA64CD" w14:textId="75F6E6A8" w:rsidR="00FB43C4" w:rsidRPr="00A54569" w:rsidRDefault="00FB43C4" w:rsidP="00FB43C4">
            <w:pPr>
              <w:adjustRightInd w:val="0"/>
              <w:snapToGrid w:val="0"/>
              <w:jc w:val="left"/>
            </w:pPr>
            <w:r w:rsidRPr="00042C69">
              <w:t>106.040001</w:t>
            </w:r>
          </w:p>
        </w:tc>
      </w:tr>
      <w:tr w:rsidR="00FB43C4" w:rsidRPr="0049029D" w14:paraId="13A78190" w14:textId="77777777" w:rsidTr="009D2915">
        <w:tc>
          <w:tcPr>
            <w:tcW w:w="3855" w:type="dxa"/>
            <w:shd w:val="clear" w:color="auto" w:fill="auto"/>
          </w:tcPr>
          <w:p w14:paraId="2861EBAE" w14:textId="249DEF49" w:rsidR="00FB43C4" w:rsidRPr="00D21F27" w:rsidRDefault="00FB43C4" w:rsidP="00FB43C4">
            <w:pPr>
              <w:adjustRightInd w:val="0"/>
              <w:snapToGrid w:val="0"/>
              <w:jc w:val="left"/>
            </w:pPr>
            <w:r w:rsidRPr="00042C69">
              <w:t>16-03-2023</w:t>
            </w:r>
          </w:p>
        </w:tc>
        <w:tc>
          <w:tcPr>
            <w:tcW w:w="3855" w:type="dxa"/>
            <w:shd w:val="clear" w:color="auto" w:fill="auto"/>
          </w:tcPr>
          <w:p w14:paraId="4F9B4B60" w14:textId="22462597" w:rsidR="00FB43C4" w:rsidRPr="00A54569" w:rsidRDefault="00FB43C4" w:rsidP="00FB43C4">
            <w:pPr>
              <w:adjustRightInd w:val="0"/>
              <w:snapToGrid w:val="0"/>
              <w:jc w:val="left"/>
            </w:pPr>
            <w:r w:rsidRPr="00042C69">
              <w:t>106.040001</w:t>
            </w:r>
          </w:p>
        </w:tc>
      </w:tr>
    </w:tbl>
    <w:p w14:paraId="1C222311" w14:textId="77777777" w:rsidR="00EF28FE" w:rsidRPr="00061B1E" w:rsidRDefault="00EF28FE" w:rsidP="00EF28FE">
      <w:pPr>
        <w:pStyle w:val="MDPI31text"/>
        <w:ind w:left="2968" w:firstLine="0"/>
        <w:rPr>
          <w:iCs/>
        </w:rPr>
      </w:pPr>
    </w:p>
    <w:p w14:paraId="64A80E07" w14:textId="7106755A" w:rsidR="00EF28FE" w:rsidRDefault="00EF28FE" w:rsidP="00EF28FE">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3" w:history="1">
        <w:r w:rsidR="00167387" w:rsidRPr="007E15D1">
          <w:rPr>
            <w:rStyle w:val="Hyperlink"/>
            <w:rFonts w:eastAsia="Times New Roman"/>
            <w:iCs/>
            <w:noProof w:val="0"/>
            <w:snapToGrid w:val="0"/>
            <w:szCs w:val="22"/>
            <w:lang w:eastAsia="de-DE" w:bidi="en-US"/>
          </w:rPr>
          <w:t>https://github.com/Anurag-Dutta/SVB/blob/main/high.csv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Highest Stock Price Column. Table 8. shows the digit wise frequency of the same. </w:t>
      </w:r>
    </w:p>
    <w:p w14:paraId="1E2F0DFE" w14:textId="77777777" w:rsidR="00EF28FE" w:rsidRDefault="00EF28FE" w:rsidP="00EF28FE">
      <w:pPr>
        <w:pStyle w:val="ListParagraph"/>
        <w:spacing w:line="0" w:lineRule="atLeast"/>
        <w:ind w:left="2552"/>
        <w:rPr>
          <w:rFonts w:eastAsia="Times New Roman"/>
          <w:iCs/>
          <w:noProof w:val="0"/>
          <w:snapToGrid w:val="0"/>
          <w:szCs w:val="22"/>
          <w:lang w:eastAsia="de-DE" w:bidi="en-US"/>
        </w:rPr>
      </w:pPr>
    </w:p>
    <w:p w14:paraId="0E388EE3" w14:textId="77777777" w:rsidR="00EF28FE" w:rsidRPr="002C410F" w:rsidRDefault="00EF28FE" w:rsidP="00EF28FE">
      <w:pPr>
        <w:pStyle w:val="ListParagraph"/>
        <w:spacing w:line="0" w:lineRule="atLeast"/>
        <w:ind w:left="2552"/>
        <w:rPr>
          <w:bCs/>
          <w:sz w:val="18"/>
          <w:szCs w:val="18"/>
        </w:rPr>
      </w:pPr>
      <w:r w:rsidRPr="002C410F">
        <w:rPr>
          <w:b/>
          <w:sz w:val="18"/>
          <w:szCs w:val="18"/>
        </w:rPr>
        <w:t xml:space="preserve">Table </w:t>
      </w:r>
      <w:r>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Highest Price. </w:t>
      </w:r>
    </w:p>
    <w:p w14:paraId="2ACE4420" w14:textId="77777777" w:rsidR="00EF28FE" w:rsidRPr="002C410F" w:rsidRDefault="00EF28FE" w:rsidP="00EF28FE">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F28FE" w:rsidRPr="0049029D" w14:paraId="32AEFEBF" w14:textId="77777777" w:rsidTr="009D2915">
        <w:tc>
          <w:tcPr>
            <w:tcW w:w="3855" w:type="dxa"/>
            <w:tcBorders>
              <w:bottom w:val="single" w:sz="4" w:space="0" w:color="auto"/>
            </w:tcBorders>
            <w:shd w:val="clear" w:color="auto" w:fill="auto"/>
          </w:tcPr>
          <w:p w14:paraId="4618592A" w14:textId="77777777" w:rsidR="00EF28FE" w:rsidRPr="008721B1" w:rsidRDefault="00EF28FE" w:rsidP="009D2915">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2F217C6C" w14:textId="77777777" w:rsidR="00EF28FE" w:rsidRPr="008721B1" w:rsidRDefault="00EF28FE" w:rsidP="009D2915">
            <w:pPr>
              <w:adjustRightInd w:val="0"/>
              <w:snapToGrid w:val="0"/>
              <w:jc w:val="left"/>
              <w:rPr>
                <w:b/>
                <w:bCs/>
                <w:noProof w:val="0"/>
              </w:rPr>
            </w:pPr>
            <w:r>
              <w:rPr>
                <w:b/>
                <w:bCs/>
              </w:rPr>
              <w:t>Frequency</w:t>
            </w:r>
          </w:p>
        </w:tc>
      </w:tr>
      <w:tr w:rsidR="00FB43C4" w:rsidRPr="0049029D" w14:paraId="07E320A0" w14:textId="77777777" w:rsidTr="009D2915">
        <w:tc>
          <w:tcPr>
            <w:tcW w:w="3855" w:type="dxa"/>
            <w:shd w:val="clear" w:color="auto" w:fill="auto"/>
          </w:tcPr>
          <w:p w14:paraId="7E6FB21C" w14:textId="0FD3FA6C" w:rsidR="00FB43C4" w:rsidRPr="0049029D" w:rsidRDefault="00FB43C4" w:rsidP="00FB43C4">
            <w:pPr>
              <w:adjustRightInd w:val="0"/>
              <w:snapToGrid w:val="0"/>
              <w:jc w:val="left"/>
              <w:rPr>
                <w:noProof w:val="0"/>
              </w:rPr>
            </w:pPr>
            <w:r w:rsidRPr="001F7BD1">
              <w:t>1</w:t>
            </w:r>
          </w:p>
        </w:tc>
        <w:tc>
          <w:tcPr>
            <w:tcW w:w="3855" w:type="dxa"/>
            <w:shd w:val="clear" w:color="auto" w:fill="auto"/>
          </w:tcPr>
          <w:p w14:paraId="1E10DC60" w14:textId="34893561" w:rsidR="00FB43C4" w:rsidRPr="0049029D" w:rsidRDefault="00FB43C4" w:rsidP="00FB43C4">
            <w:pPr>
              <w:adjustRightInd w:val="0"/>
              <w:snapToGrid w:val="0"/>
              <w:jc w:val="left"/>
              <w:rPr>
                <w:noProof w:val="0"/>
              </w:rPr>
            </w:pPr>
            <w:r w:rsidRPr="001F7BD1">
              <w:t>2013</w:t>
            </w:r>
          </w:p>
        </w:tc>
      </w:tr>
      <w:tr w:rsidR="00FB43C4" w:rsidRPr="0049029D" w14:paraId="340F2947" w14:textId="77777777" w:rsidTr="009D2915">
        <w:tc>
          <w:tcPr>
            <w:tcW w:w="3855" w:type="dxa"/>
            <w:shd w:val="clear" w:color="auto" w:fill="auto"/>
          </w:tcPr>
          <w:p w14:paraId="2F67541F" w14:textId="1C0BFF61" w:rsidR="00FB43C4" w:rsidRPr="0049029D" w:rsidRDefault="00FB43C4" w:rsidP="00FB43C4">
            <w:pPr>
              <w:adjustRightInd w:val="0"/>
              <w:snapToGrid w:val="0"/>
              <w:jc w:val="left"/>
              <w:rPr>
                <w:noProof w:val="0"/>
              </w:rPr>
            </w:pPr>
            <w:r w:rsidRPr="001F7BD1">
              <w:t>2</w:t>
            </w:r>
          </w:p>
        </w:tc>
        <w:tc>
          <w:tcPr>
            <w:tcW w:w="3855" w:type="dxa"/>
            <w:shd w:val="clear" w:color="auto" w:fill="auto"/>
          </w:tcPr>
          <w:p w14:paraId="2A12F35E" w14:textId="22C288B6" w:rsidR="00FB43C4" w:rsidRPr="0049029D" w:rsidRDefault="00FB43C4" w:rsidP="00FB43C4">
            <w:pPr>
              <w:adjustRightInd w:val="0"/>
              <w:snapToGrid w:val="0"/>
              <w:jc w:val="left"/>
              <w:rPr>
                <w:noProof w:val="0"/>
              </w:rPr>
            </w:pPr>
            <w:r w:rsidRPr="001F7BD1">
              <w:t>2202</w:t>
            </w:r>
          </w:p>
        </w:tc>
      </w:tr>
      <w:tr w:rsidR="00FB43C4" w:rsidRPr="0049029D" w14:paraId="1068A170" w14:textId="77777777" w:rsidTr="009D2915">
        <w:tc>
          <w:tcPr>
            <w:tcW w:w="3855" w:type="dxa"/>
            <w:shd w:val="clear" w:color="auto" w:fill="auto"/>
          </w:tcPr>
          <w:p w14:paraId="44AF5140" w14:textId="4CB4C87F" w:rsidR="00FB43C4" w:rsidRPr="0049029D" w:rsidRDefault="00FB43C4" w:rsidP="00FB43C4">
            <w:pPr>
              <w:adjustRightInd w:val="0"/>
              <w:snapToGrid w:val="0"/>
              <w:jc w:val="left"/>
              <w:rPr>
                <w:noProof w:val="0"/>
              </w:rPr>
            </w:pPr>
            <w:r w:rsidRPr="001F7BD1">
              <w:t>3</w:t>
            </w:r>
          </w:p>
        </w:tc>
        <w:tc>
          <w:tcPr>
            <w:tcW w:w="3855" w:type="dxa"/>
            <w:shd w:val="clear" w:color="auto" w:fill="auto"/>
          </w:tcPr>
          <w:p w14:paraId="14CCD088" w14:textId="1C66DABE" w:rsidR="00FB43C4" w:rsidRPr="0049029D" w:rsidRDefault="00FB43C4" w:rsidP="00FB43C4">
            <w:pPr>
              <w:adjustRightInd w:val="0"/>
              <w:snapToGrid w:val="0"/>
              <w:jc w:val="left"/>
              <w:rPr>
                <w:noProof w:val="0"/>
              </w:rPr>
            </w:pPr>
            <w:r w:rsidRPr="001F7BD1">
              <w:t>1188</w:t>
            </w:r>
          </w:p>
        </w:tc>
      </w:tr>
      <w:tr w:rsidR="00FB43C4" w:rsidRPr="0049029D" w14:paraId="4F989AB0" w14:textId="77777777" w:rsidTr="009D2915">
        <w:tc>
          <w:tcPr>
            <w:tcW w:w="3855" w:type="dxa"/>
            <w:shd w:val="clear" w:color="auto" w:fill="auto"/>
          </w:tcPr>
          <w:p w14:paraId="190609BA" w14:textId="79AEAAE2" w:rsidR="00FB43C4" w:rsidRPr="00DE29B0" w:rsidRDefault="00FB43C4" w:rsidP="00FB43C4">
            <w:pPr>
              <w:adjustRightInd w:val="0"/>
              <w:snapToGrid w:val="0"/>
              <w:jc w:val="left"/>
            </w:pPr>
            <w:r w:rsidRPr="001F7BD1">
              <w:t>4</w:t>
            </w:r>
          </w:p>
        </w:tc>
        <w:tc>
          <w:tcPr>
            <w:tcW w:w="3855" w:type="dxa"/>
            <w:shd w:val="clear" w:color="auto" w:fill="auto"/>
          </w:tcPr>
          <w:p w14:paraId="17AFD55A" w14:textId="3FD32EE2" w:rsidR="00FB43C4" w:rsidRPr="00DE29B0" w:rsidRDefault="00FB43C4" w:rsidP="00FB43C4">
            <w:pPr>
              <w:adjustRightInd w:val="0"/>
              <w:snapToGrid w:val="0"/>
              <w:jc w:val="left"/>
            </w:pPr>
            <w:r w:rsidRPr="001F7BD1">
              <w:t>1296</w:t>
            </w:r>
          </w:p>
        </w:tc>
      </w:tr>
      <w:tr w:rsidR="00FB43C4" w:rsidRPr="0049029D" w14:paraId="6FB23B35" w14:textId="77777777" w:rsidTr="009D2915">
        <w:tc>
          <w:tcPr>
            <w:tcW w:w="3855" w:type="dxa"/>
            <w:shd w:val="clear" w:color="auto" w:fill="auto"/>
          </w:tcPr>
          <w:p w14:paraId="2C73263C" w14:textId="439C96C4" w:rsidR="00FB43C4" w:rsidRPr="00D21F27" w:rsidRDefault="00FB43C4" w:rsidP="00FB43C4">
            <w:pPr>
              <w:adjustRightInd w:val="0"/>
              <w:snapToGrid w:val="0"/>
              <w:jc w:val="left"/>
            </w:pPr>
            <w:r w:rsidRPr="001F7BD1">
              <w:t>5</w:t>
            </w:r>
          </w:p>
        </w:tc>
        <w:tc>
          <w:tcPr>
            <w:tcW w:w="3855" w:type="dxa"/>
            <w:shd w:val="clear" w:color="auto" w:fill="auto"/>
          </w:tcPr>
          <w:p w14:paraId="588E8C89" w14:textId="5596F4AE" w:rsidR="00FB43C4" w:rsidRPr="00A54569" w:rsidRDefault="00FB43C4" w:rsidP="00FB43C4">
            <w:pPr>
              <w:adjustRightInd w:val="0"/>
              <w:snapToGrid w:val="0"/>
              <w:jc w:val="left"/>
            </w:pPr>
            <w:r w:rsidRPr="001F7BD1">
              <w:t>1052</w:t>
            </w:r>
          </w:p>
        </w:tc>
      </w:tr>
      <w:tr w:rsidR="00FB43C4" w:rsidRPr="0049029D" w14:paraId="72DA08E6" w14:textId="77777777" w:rsidTr="009D2915">
        <w:tc>
          <w:tcPr>
            <w:tcW w:w="3855" w:type="dxa"/>
            <w:shd w:val="clear" w:color="auto" w:fill="auto"/>
          </w:tcPr>
          <w:p w14:paraId="23965F7C" w14:textId="726C017C" w:rsidR="00FB43C4" w:rsidRPr="00D21F27" w:rsidRDefault="00FB43C4" w:rsidP="00FB43C4">
            <w:pPr>
              <w:adjustRightInd w:val="0"/>
              <w:snapToGrid w:val="0"/>
              <w:jc w:val="left"/>
            </w:pPr>
            <w:r w:rsidRPr="001F7BD1">
              <w:t>6</w:t>
            </w:r>
          </w:p>
        </w:tc>
        <w:tc>
          <w:tcPr>
            <w:tcW w:w="3855" w:type="dxa"/>
            <w:shd w:val="clear" w:color="auto" w:fill="auto"/>
          </w:tcPr>
          <w:p w14:paraId="5AD9DC01" w14:textId="76ECC1CB" w:rsidR="00FB43C4" w:rsidRPr="00A54569" w:rsidRDefault="00FB43C4" w:rsidP="00FB43C4">
            <w:pPr>
              <w:adjustRightInd w:val="0"/>
              <w:snapToGrid w:val="0"/>
              <w:jc w:val="left"/>
            </w:pPr>
            <w:r w:rsidRPr="001F7BD1">
              <w:t>415</w:t>
            </w:r>
          </w:p>
        </w:tc>
      </w:tr>
      <w:tr w:rsidR="00FB43C4" w:rsidRPr="0049029D" w14:paraId="63025625" w14:textId="77777777" w:rsidTr="009D2915">
        <w:tc>
          <w:tcPr>
            <w:tcW w:w="3855" w:type="dxa"/>
            <w:shd w:val="clear" w:color="auto" w:fill="auto"/>
          </w:tcPr>
          <w:p w14:paraId="31944708" w14:textId="1170EFAF" w:rsidR="00FB43C4" w:rsidRPr="00D21F27" w:rsidRDefault="00FB43C4" w:rsidP="00FB43C4">
            <w:pPr>
              <w:adjustRightInd w:val="0"/>
              <w:snapToGrid w:val="0"/>
              <w:jc w:val="left"/>
            </w:pPr>
            <w:r w:rsidRPr="001F7BD1">
              <w:t>7</w:t>
            </w:r>
          </w:p>
        </w:tc>
        <w:tc>
          <w:tcPr>
            <w:tcW w:w="3855" w:type="dxa"/>
            <w:shd w:val="clear" w:color="auto" w:fill="auto"/>
          </w:tcPr>
          <w:p w14:paraId="2075D1E7" w14:textId="25AFDFAB" w:rsidR="00FB43C4" w:rsidRPr="00A54569" w:rsidRDefault="00FB43C4" w:rsidP="00FB43C4">
            <w:pPr>
              <w:adjustRightInd w:val="0"/>
              <w:snapToGrid w:val="0"/>
              <w:jc w:val="left"/>
            </w:pPr>
            <w:r w:rsidRPr="001F7BD1">
              <w:t>191</w:t>
            </w:r>
          </w:p>
        </w:tc>
      </w:tr>
      <w:tr w:rsidR="00FB43C4" w:rsidRPr="0049029D" w14:paraId="44B5AC00" w14:textId="77777777" w:rsidTr="009D2915">
        <w:tc>
          <w:tcPr>
            <w:tcW w:w="3855" w:type="dxa"/>
            <w:shd w:val="clear" w:color="auto" w:fill="auto"/>
          </w:tcPr>
          <w:p w14:paraId="6BAFB15D" w14:textId="7ADE1D70" w:rsidR="00FB43C4" w:rsidRPr="00D21F27" w:rsidRDefault="00FB43C4" w:rsidP="00FB43C4">
            <w:pPr>
              <w:adjustRightInd w:val="0"/>
              <w:snapToGrid w:val="0"/>
              <w:jc w:val="left"/>
            </w:pPr>
            <w:r w:rsidRPr="001F7BD1">
              <w:t>8</w:t>
            </w:r>
          </w:p>
        </w:tc>
        <w:tc>
          <w:tcPr>
            <w:tcW w:w="3855" w:type="dxa"/>
            <w:shd w:val="clear" w:color="auto" w:fill="auto"/>
          </w:tcPr>
          <w:p w14:paraId="4E343A84" w14:textId="74FA868A" w:rsidR="00FB43C4" w:rsidRPr="00A54569" w:rsidRDefault="00FB43C4" w:rsidP="00FB43C4">
            <w:pPr>
              <w:adjustRightInd w:val="0"/>
              <w:snapToGrid w:val="0"/>
              <w:jc w:val="left"/>
            </w:pPr>
            <w:r w:rsidRPr="001F7BD1">
              <w:t>182</w:t>
            </w:r>
          </w:p>
        </w:tc>
      </w:tr>
      <w:tr w:rsidR="00FB43C4" w:rsidRPr="0049029D" w14:paraId="7F80C179" w14:textId="77777777" w:rsidTr="009D2915">
        <w:tc>
          <w:tcPr>
            <w:tcW w:w="3855" w:type="dxa"/>
            <w:shd w:val="clear" w:color="auto" w:fill="auto"/>
          </w:tcPr>
          <w:p w14:paraId="089451DF" w14:textId="3F2131AD" w:rsidR="00FB43C4" w:rsidRPr="00D21F27" w:rsidRDefault="00FB43C4" w:rsidP="00FB43C4">
            <w:pPr>
              <w:adjustRightInd w:val="0"/>
              <w:snapToGrid w:val="0"/>
              <w:jc w:val="left"/>
            </w:pPr>
            <w:r w:rsidRPr="001F7BD1">
              <w:t>9</w:t>
            </w:r>
          </w:p>
        </w:tc>
        <w:tc>
          <w:tcPr>
            <w:tcW w:w="3855" w:type="dxa"/>
            <w:shd w:val="clear" w:color="auto" w:fill="auto"/>
          </w:tcPr>
          <w:p w14:paraId="3D1591A2" w14:textId="58625530" w:rsidR="00FB43C4" w:rsidRPr="00A54569" w:rsidRDefault="00FB43C4" w:rsidP="00FB43C4">
            <w:pPr>
              <w:adjustRightInd w:val="0"/>
              <w:snapToGrid w:val="0"/>
              <w:jc w:val="left"/>
            </w:pPr>
            <w:r w:rsidRPr="001F7BD1">
              <w:t>247</w:t>
            </w:r>
          </w:p>
        </w:tc>
      </w:tr>
    </w:tbl>
    <w:p w14:paraId="098B460E" w14:textId="77777777" w:rsidR="00EF28FE" w:rsidRDefault="00EF28FE" w:rsidP="00EF28FE">
      <w:pPr>
        <w:pStyle w:val="ListParagraph"/>
        <w:spacing w:line="0" w:lineRule="atLeast"/>
        <w:ind w:left="2552"/>
        <w:rPr>
          <w:rFonts w:eastAsiaTheme="minorEastAsia"/>
          <w:shd w:val="clear" w:color="auto" w:fill="FFFFFF"/>
        </w:rPr>
      </w:pPr>
    </w:p>
    <w:p w14:paraId="3F0B4DBE" w14:textId="77777777" w:rsidR="00EF28FE" w:rsidRPr="00E5735B" w:rsidRDefault="00EF28FE" w:rsidP="00EF28FE">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2FB256E1" w14:textId="67751639" w:rsidR="00EF28FE" w:rsidRPr="00E5735B" w:rsidRDefault="00000000" w:rsidP="00EF28FE">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=8786</m:t>
          </m:r>
        </m:oMath>
      </m:oMathPara>
    </w:p>
    <w:p w14:paraId="67BBBBF2" w14:textId="77777777" w:rsidR="00EF28FE" w:rsidRDefault="00EF28FE" w:rsidP="00EF28FE">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28261453" w14:textId="0C92737B" w:rsidR="00EF28FE" w:rsidRDefault="00EF28FE" w:rsidP="00EF28FE">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8786</m:t>
              </m:r>
            </m:den>
          </m:f>
        </m:oMath>
      </m:oMathPara>
    </w:p>
    <w:p w14:paraId="57E66CB9" w14:textId="59D6D415" w:rsidR="00EF28FE" w:rsidRPr="00027999" w:rsidRDefault="00EF28FE" w:rsidP="00EF28FE">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probabilities have been demonstrated on the Table 1. </w:t>
      </w:r>
      <w:r>
        <w:t xml:space="preserve">Figure </w:t>
      </w:r>
      <w:r w:rsidR="00A07B3E">
        <w:t>6</w:t>
      </w:r>
      <w:r>
        <w:t xml:space="preserve"> contrasts the same. </w:t>
      </w:r>
    </w:p>
    <w:p w14:paraId="3DE5D45E" w14:textId="77777777" w:rsidR="00EF28FE" w:rsidRDefault="00EF28FE" w:rsidP="00EF28FE">
      <w:pPr>
        <w:adjustRightInd w:val="0"/>
        <w:snapToGrid w:val="0"/>
        <w:jc w:val="center"/>
        <w:rPr>
          <w:noProof w:val="0"/>
        </w:rPr>
      </w:pPr>
      <w:r w:rsidRPr="0049029D">
        <w:drawing>
          <wp:inline distT="0" distB="0" distL="0" distR="0" wp14:anchorId="16185E73" wp14:editId="44E83E7D">
            <wp:extent cx="3744000" cy="2808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744000" cy="2808000"/>
                    </a:xfrm>
                    <a:prstGeom prst="rect">
                      <a:avLst/>
                    </a:prstGeom>
                  </pic:spPr>
                </pic:pic>
              </a:graphicData>
            </a:graphic>
          </wp:inline>
        </w:drawing>
      </w:r>
    </w:p>
    <w:p w14:paraId="3510E7DA" w14:textId="417B5CE1" w:rsidR="00EF28FE" w:rsidRDefault="00EF28FE" w:rsidP="00EF28FE">
      <w:pPr>
        <w:pStyle w:val="MDPI51figurecaption"/>
        <w:jc w:val="both"/>
      </w:pPr>
      <w:r w:rsidRPr="0049029D">
        <w:rPr>
          <w:b/>
        </w:rPr>
        <w:t xml:space="preserve">Figure </w:t>
      </w:r>
      <w:r w:rsidR="00A07B3E">
        <w:rPr>
          <w:b/>
        </w:rPr>
        <w:t>6</w:t>
      </w:r>
      <w:r w:rsidRPr="0049029D">
        <w:rPr>
          <w:b/>
        </w:rPr>
        <w:t xml:space="preserve">. </w:t>
      </w:r>
      <w:r>
        <w:t xml:space="preserve">Contrast between Actual and Theoretical Probabilities taking into consideration, Highest Price of the </w:t>
      </w:r>
      <w:r w:rsidR="00167387" w:rsidRPr="00167387">
        <w:rPr>
          <w:bCs/>
          <w:szCs w:val="18"/>
        </w:rPr>
        <w:t>Silicon Valley Bank</w:t>
      </w:r>
      <w:r w:rsidR="00167387">
        <w:rPr>
          <w:bCs/>
          <w:szCs w:val="18"/>
        </w:rPr>
        <w:t xml:space="preserve"> Stock</w:t>
      </w:r>
      <w:r>
        <w:t>.</w:t>
      </w:r>
    </w:p>
    <w:p w14:paraId="649B5788" w14:textId="77777777" w:rsidR="00EF28FE" w:rsidRPr="008C5901" w:rsidRDefault="00EF28FE" w:rsidP="00EF28FE">
      <w:pPr>
        <w:pStyle w:val="MDPI51figurecaption"/>
        <w:jc w:val="both"/>
        <w:rPr>
          <w:bCs/>
          <w:sz w:val="20"/>
        </w:rPr>
      </w:pPr>
      <w:r w:rsidRPr="008C5901">
        <w:rPr>
          <w:bCs/>
          <w:sz w:val="20"/>
        </w:rPr>
        <w:lastRenderedPageBreak/>
        <w:t>The</w:t>
      </w:r>
      <w:r>
        <w:rPr>
          <w:bCs/>
          <w:sz w:val="20"/>
        </w:rPr>
        <w:t xml:space="preserve"> mean squared error, </w:t>
      </w:r>
    </w:p>
    <w:p w14:paraId="3679E53B" w14:textId="77777777" w:rsidR="00EF28FE" w:rsidRPr="008C5901" w:rsidRDefault="00000000" w:rsidP="00EF28FE">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7D5BE6B1" w14:textId="26626C73" w:rsidR="00EF28FE" w:rsidRDefault="00EF28FE" w:rsidP="00EF28FE">
      <w:pPr>
        <w:pStyle w:val="MDPI51figurecaption"/>
        <w:jc w:val="both"/>
        <w:rPr>
          <w:rFonts w:eastAsiaTheme="minorEastAsia"/>
          <w:bCs/>
          <w:noProof/>
          <w:sz w:val="20"/>
        </w:rPr>
      </w:pPr>
      <w:r>
        <w:rPr>
          <w:rFonts w:eastAsiaTheme="minorEastAsia"/>
          <w:bCs/>
          <w:noProof/>
          <w:sz w:val="20"/>
        </w:rPr>
        <w:t xml:space="preserve">turns out to be </w:t>
      </w:r>
      <w:r w:rsidR="00FB43C4" w:rsidRPr="00FB43C4">
        <w:rPr>
          <w:rFonts w:eastAsiaTheme="minorEastAsia"/>
          <w:bCs/>
          <w:noProof/>
          <w:sz w:val="20"/>
        </w:rPr>
        <w:t>0.665344714</w:t>
      </w:r>
      <w:r>
        <w:rPr>
          <w:rFonts w:eastAsiaTheme="minorEastAsia"/>
          <w:bCs/>
          <w:noProof/>
          <w:sz w:val="20"/>
        </w:rPr>
        <w:t>, which is</w:t>
      </w:r>
      <w:r w:rsidR="00167387">
        <w:rPr>
          <w:rFonts w:eastAsiaTheme="minorEastAsia"/>
          <w:bCs/>
          <w:noProof/>
          <w:sz w:val="20"/>
        </w:rPr>
        <w:t xml:space="preserve"> not</w:t>
      </w:r>
      <w:r>
        <w:rPr>
          <w:rFonts w:eastAsiaTheme="minorEastAsia"/>
          <w:bCs/>
          <w:noProof/>
          <w:sz w:val="20"/>
        </w:rPr>
        <w:t xml:space="preserve"> in acceptable ranges.</w:t>
      </w:r>
    </w:p>
    <w:p w14:paraId="2BA54DB0" w14:textId="48E26AED" w:rsidR="00282DDC" w:rsidRDefault="00282DDC" w:rsidP="00282DDC">
      <w:pPr>
        <w:pStyle w:val="MDPI51figurecaption"/>
        <w:jc w:val="both"/>
        <w:rPr>
          <w:rFonts w:eastAsiaTheme="minorEastAsia"/>
          <w:bCs/>
          <w:noProof/>
          <w:sz w:val="20"/>
        </w:rPr>
      </w:pPr>
      <w:r>
        <w:rPr>
          <w:rFonts w:eastAsiaTheme="minorEastAsia"/>
          <w:bCs/>
          <w:noProof/>
          <w:sz w:val="20"/>
        </w:rPr>
        <w:t xml:space="preserve">Figure </w:t>
      </w:r>
      <w:r>
        <w:rPr>
          <w:rFonts w:eastAsiaTheme="minorEastAsia"/>
          <w:bCs/>
          <w:noProof/>
          <w:sz w:val="20"/>
        </w:rPr>
        <w:t>7</w:t>
      </w:r>
      <w:r>
        <w:rPr>
          <w:rFonts w:eastAsiaTheme="minorEastAsia"/>
          <w:bCs/>
          <w:noProof/>
          <w:sz w:val="20"/>
        </w:rPr>
        <w:t xml:space="preserve"> shows the contrast of the same formulating the Zipf’s Law. </w:t>
      </w:r>
    </w:p>
    <w:p w14:paraId="7FA22570" w14:textId="77777777" w:rsidR="00282DDC" w:rsidRDefault="00282DDC" w:rsidP="00282DDC">
      <w:pPr>
        <w:pStyle w:val="MDPI51figurecaption"/>
        <w:jc w:val="both"/>
        <w:rPr>
          <w:rFonts w:eastAsiaTheme="minorEastAsia"/>
          <w:bCs/>
          <w:noProof/>
          <w:sz w:val="20"/>
        </w:rPr>
      </w:pPr>
      <w:r w:rsidRPr="0049029D">
        <w:drawing>
          <wp:inline distT="0" distB="0" distL="0" distR="0" wp14:anchorId="642EB594" wp14:editId="03622A1E">
            <wp:extent cx="3744000" cy="2808000"/>
            <wp:effectExtent l="0" t="0" r="8890" b="0"/>
            <wp:docPr id="1962547508" name="Picture 196254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47508" name="Picture 1962547508"/>
                    <pic:cNvPicPr/>
                  </pic:nvPicPr>
                  <pic:blipFill>
                    <a:blip r:embed="rId25"/>
                    <a:stretch>
                      <a:fillRect/>
                    </a:stretch>
                  </pic:blipFill>
                  <pic:spPr>
                    <a:xfrm>
                      <a:off x="0" y="0"/>
                      <a:ext cx="3744000" cy="2808000"/>
                    </a:xfrm>
                    <a:prstGeom prst="rect">
                      <a:avLst/>
                    </a:prstGeom>
                  </pic:spPr>
                </pic:pic>
              </a:graphicData>
            </a:graphic>
          </wp:inline>
        </w:drawing>
      </w:r>
    </w:p>
    <w:p w14:paraId="75CCEA6A" w14:textId="02FE6763" w:rsidR="00282DDC" w:rsidRDefault="00282DDC" w:rsidP="00282DDC">
      <w:pPr>
        <w:pStyle w:val="MDPI51figurecaption"/>
        <w:jc w:val="both"/>
      </w:pPr>
      <w:r w:rsidRPr="0049029D">
        <w:rPr>
          <w:b/>
        </w:rPr>
        <w:t xml:space="preserve">Figure </w:t>
      </w:r>
      <w:r>
        <w:rPr>
          <w:b/>
        </w:rPr>
        <w:t>7</w:t>
      </w:r>
      <w:r w:rsidRPr="0049029D">
        <w:rPr>
          <w:b/>
        </w:rPr>
        <w:t xml:space="preserve">. </w:t>
      </w:r>
      <w:r>
        <w:t xml:space="preserve">Contrast between Actual and Theoretical Probabilities taking into consideration, </w:t>
      </w:r>
      <w:r>
        <w:t>Daily Highest</w:t>
      </w:r>
      <w:r>
        <w:t xml:space="preserve"> Price of the Silicon Valley Bank Stocks as per the Zipfian Distribution.</w:t>
      </w:r>
    </w:p>
    <w:p w14:paraId="02FADE12" w14:textId="3AC69B05" w:rsidR="00124D69" w:rsidRPr="00124D69" w:rsidRDefault="00124D69" w:rsidP="00124D69">
      <w:pPr>
        <w:pStyle w:val="MDPI51figurecaption"/>
        <w:jc w:val="both"/>
        <w:rPr>
          <w:bCs/>
          <w:sz w:val="20"/>
          <w:szCs w:val="22"/>
        </w:rPr>
      </w:pPr>
      <w:r w:rsidRPr="00124D69">
        <w:rPr>
          <w:bCs/>
          <w:sz w:val="20"/>
          <w:szCs w:val="22"/>
        </w:rPr>
        <w:t xml:space="preserve">Here, </w:t>
      </w:r>
      <w:r>
        <w:rPr>
          <w:bCs/>
          <w:sz w:val="20"/>
          <w:szCs w:val="22"/>
        </w:rPr>
        <w:t xml:space="preserve">the mean squared error turns out to be </w:t>
      </w:r>
      <w:r w:rsidR="000C2A84" w:rsidRPr="000C2A84">
        <w:rPr>
          <w:bCs/>
          <w:sz w:val="20"/>
          <w:szCs w:val="22"/>
        </w:rPr>
        <w:t>0.025687288189744303</w:t>
      </w:r>
      <w:r>
        <w:rPr>
          <w:bCs/>
          <w:sz w:val="20"/>
          <w:szCs w:val="22"/>
        </w:rPr>
        <w:t>, which is again a way behind than the permissible range.</w:t>
      </w:r>
    </w:p>
    <w:p w14:paraId="49AE0179" w14:textId="77777777" w:rsidR="00EF28FE" w:rsidRDefault="00EF28FE" w:rsidP="00EF28FE">
      <w:pPr>
        <w:pStyle w:val="MDPI21heading1"/>
        <w:numPr>
          <w:ilvl w:val="0"/>
          <w:numId w:val="42"/>
        </w:numPr>
      </w:pPr>
      <w:r>
        <w:t>Conclusion</w:t>
      </w:r>
    </w:p>
    <w:p w14:paraId="337B4B76" w14:textId="60DF6089" w:rsidR="00EF28FE" w:rsidRPr="000C2A84" w:rsidRDefault="00BC46CA" w:rsidP="00EF28FE">
      <w:pPr>
        <w:pStyle w:val="MDPI51figurecaption"/>
        <w:jc w:val="both"/>
        <w:rPr>
          <w:rFonts w:eastAsiaTheme="minorEastAsia"/>
          <w:bCs/>
          <w:noProof/>
          <w:color w:val="auto"/>
          <w:sz w:val="20"/>
        </w:rPr>
      </w:pPr>
      <w:r>
        <w:rPr>
          <w:rFonts w:eastAsiaTheme="minorEastAsia"/>
          <w:bCs/>
          <w:noProof/>
          <w:sz w:val="20"/>
        </w:rPr>
        <w:t>The Silicon Valley Bank has now collapsed</w:t>
      </w:r>
      <w:r w:rsidR="001A473D">
        <w:rPr>
          <w:rFonts w:eastAsiaTheme="minorEastAsia"/>
          <w:bCs/>
          <w:noProof/>
          <w:sz w:val="20"/>
        </w:rPr>
        <w:t xml:space="preserve"> [28]</w:t>
      </w:r>
      <w:r>
        <w:rPr>
          <w:rFonts w:eastAsiaTheme="minorEastAsia"/>
          <w:bCs/>
          <w:noProof/>
          <w:sz w:val="20"/>
        </w:rPr>
        <w:t xml:space="preserve">. The stock price analysis by making use of Benford’s Law </w:t>
      </w:r>
      <w:r w:rsidRPr="00B467CB">
        <w:rPr>
          <w:rFonts w:eastAsiaTheme="minorEastAsia"/>
          <w:bCs/>
          <w:noProof/>
          <w:color w:val="FF0000"/>
          <w:sz w:val="20"/>
        </w:rPr>
        <w:t>shows a clear deviation from the natural trend</w:t>
      </w:r>
      <w:r>
        <w:rPr>
          <w:rFonts w:eastAsiaTheme="minorEastAsia"/>
          <w:bCs/>
          <w:noProof/>
          <w:sz w:val="20"/>
        </w:rPr>
        <w:t xml:space="preserve">. Though, it won’t be justified to blame any of the authorities without evident records, still the results from this study, can be subjected as a motivation to </w:t>
      </w:r>
      <w:r w:rsidRPr="00B467CB">
        <w:rPr>
          <w:rFonts w:eastAsiaTheme="minorEastAsia"/>
          <w:bCs/>
          <w:noProof/>
          <w:color w:val="FF0000"/>
          <w:sz w:val="20"/>
        </w:rPr>
        <w:t>carry on more investigations</w:t>
      </w:r>
      <w:r>
        <w:rPr>
          <w:rFonts w:eastAsiaTheme="minorEastAsia"/>
          <w:bCs/>
          <w:noProof/>
          <w:sz w:val="20"/>
        </w:rPr>
        <w:t xml:space="preserve"> by the concerned authorities towards the unnatural perturbations in the Stock Price, and deviation from the Likelihood Plot as suggested by the Law of Benford. For each of the Opening, Closing and Highest Price of Stocks, the mean squred error is more than 0.5, which is </w:t>
      </w:r>
      <w:r w:rsidRPr="00B467CB">
        <w:rPr>
          <w:rFonts w:eastAsiaTheme="minorEastAsia"/>
          <w:bCs/>
          <w:noProof/>
          <w:color w:val="FF0000"/>
          <w:sz w:val="20"/>
        </w:rPr>
        <w:t>not a healthy corformality.</w:t>
      </w:r>
      <w:r w:rsidR="000C2A84">
        <w:rPr>
          <w:rFonts w:eastAsiaTheme="minorEastAsia"/>
          <w:bCs/>
          <w:noProof/>
          <w:color w:val="FF0000"/>
          <w:sz w:val="20"/>
        </w:rPr>
        <w:t xml:space="preserve"> </w:t>
      </w:r>
      <w:r w:rsidR="000C2A84" w:rsidRPr="000C2A84">
        <w:rPr>
          <w:rFonts w:eastAsiaTheme="minorEastAsia"/>
          <w:bCs/>
          <w:noProof/>
          <w:color w:val="auto"/>
          <w:sz w:val="20"/>
        </w:rPr>
        <w:t>Further</w:t>
      </w:r>
      <w:r w:rsidR="000C2A84">
        <w:rPr>
          <w:rFonts w:eastAsiaTheme="minorEastAsia"/>
          <w:bCs/>
          <w:noProof/>
          <w:color w:val="auto"/>
          <w:sz w:val="20"/>
        </w:rPr>
        <w:t xml:space="preserve">, comparison is laid with the Zipfian Distribution, which when addressed was again showing deviation beyond range of healthy conformality.  </w:t>
      </w:r>
    </w:p>
    <w:p w14:paraId="1C0AB2CE" w14:textId="1A2F0708" w:rsidR="00EF28FE" w:rsidRDefault="00B467CB" w:rsidP="00EF28FE">
      <w:pPr>
        <w:pStyle w:val="MDPI51figurecaption"/>
        <w:ind w:firstLine="452"/>
        <w:jc w:val="both"/>
        <w:rPr>
          <w:rFonts w:eastAsiaTheme="minorEastAsia"/>
          <w:bCs/>
          <w:noProof/>
          <w:sz w:val="20"/>
        </w:rPr>
      </w:pPr>
      <w:r w:rsidRPr="00B467CB">
        <w:rPr>
          <w:rFonts w:eastAsiaTheme="minorEastAsia"/>
          <w:bCs/>
          <w:noProof/>
          <w:sz w:val="20"/>
        </w:rPr>
        <w:t xml:space="preserve">The authors suggest future work on the topic to obtain a more definitive conclusions using any additional indicators that may be far enough in the future to eliminate out the risk. Additional statistical laws, such as </w:t>
      </w:r>
      <w:r w:rsidR="00C53723">
        <w:rPr>
          <w:rFonts w:eastAsiaTheme="minorEastAsia"/>
          <w:bCs/>
          <w:noProof/>
          <w:sz w:val="20"/>
        </w:rPr>
        <w:t xml:space="preserve">Pareto’s Law, </w:t>
      </w:r>
      <w:r w:rsidRPr="00B467CB">
        <w:rPr>
          <w:rFonts w:eastAsiaTheme="minorEastAsia"/>
          <w:bCs/>
          <w:noProof/>
          <w:sz w:val="20"/>
        </w:rPr>
        <w:t>Weber's Law, and so on, could be incorporated into the framework as a future effort.</w:t>
      </w:r>
    </w:p>
    <w:p w14:paraId="617A4082" w14:textId="77777777" w:rsidR="00EF28FE" w:rsidRPr="0049029D" w:rsidRDefault="00EF28FE" w:rsidP="00EF28FE">
      <w:pPr>
        <w:adjustRightInd w:val="0"/>
        <w:snapToGrid w:val="0"/>
        <w:rPr>
          <w:b/>
          <w:bCs/>
          <w:noProof w:val="0"/>
        </w:rPr>
      </w:pPr>
      <w:r w:rsidRPr="0049029D">
        <w:rPr>
          <w:b/>
          <w:bCs/>
          <w:noProof w:val="0"/>
        </w:rPr>
        <w:t>References</w:t>
      </w:r>
    </w:p>
    <w:p w14:paraId="2A09937E"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M. J. Müller, B. Landsberg, and J. </w:t>
      </w:r>
      <w:proofErr w:type="spellStart"/>
      <w:r w:rsidRPr="001A473D">
        <w:rPr>
          <w:noProof w:val="0"/>
        </w:rPr>
        <w:t>Ried</w:t>
      </w:r>
      <w:proofErr w:type="spellEnd"/>
      <w:r w:rsidRPr="001A473D">
        <w:rPr>
          <w:noProof w:val="0"/>
        </w:rPr>
        <w:t xml:space="preserve">, “Fraud in science: a plea for a new culture in research,” </w:t>
      </w:r>
      <w:r w:rsidRPr="001A473D">
        <w:rPr>
          <w:i/>
          <w:iCs/>
          <w:noProof w:val="0"/>
        </w:rPr>
        <w:t>European Journal of Clinical Nutrition</w:t>
      </w:r>
      <w:r w:rsidRPr="001A473D">
        <w:rPr>
          <w:noProof w:val="0"/>
        </w:rPr>
        <w:t>, vol. 68, no. 4, pp. 411–415, Apr. 2014, doi: https://doi.org/10.1038/ejcn.2014.17.</w:t>
      </w:r>
    </w:p>
    <w:p w14:paraId="4C6C2190"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N. </w:t>
      </w:r>
      <w:proofErr w:type="spellStart"/>
      <w:r w:rsidRPr="001A473D">
        <w:rPr>
          <w:noProof w:val="0"/>
        </w:rPr>
        <w:t>Koepke</w:t>
      </w:r>
      <w:proofErr w:type="spellEnd"/>
      <w:r w:rsidRPr="001A473D">
        <w:rPr>
          <w:noProof w:val="0"/>
        </w:rPr>
        <w:t xml:space="preserve"> and J. </w:t>
      </w:r>
      <w:proofErr w:type="spellStart"/>
      <w:r w:rsidRPr="001A473D">
        <w:rPr>
          <w:noProof w:val="0"/>
        </w:rPr>
        <w:t>Baten</w:t>
      </w:r>
      <w:proofErr w:type="spellEnd"/>
      <w:r w:rsidRPr="001A473D">
        <w:rPr>
          <w:noProof w:val="0"/>
        </w:rPr>
        <w:t xml:space="preserve">, “The biological standard of living in Europe during the last two millennia,” </w:t>
      </w:r>
      <w:r w:rsidRPr="001A473D">
        <w:rPr>
          <w:i/>
          <w:iCs/>
          <w:noProof w:val="0"/>
        </w:rPr>
        <w:t>European Review of Economic History</w:t>
      </w:r>
      <w:r w:rsidRPr="001A473D">
        <w:rPr>
          <w:noProof w:val="0"/>
        </w:rPr>
        <w:t>, vol. 9, no. 1, pp. 61–95, Apr. 2005, doi: https://doi.org/10.1017/s1361491604001388.</w:t>
      </w:r>
    </w:p>
    <w:p w14:paraId="6B507484" w14:textId="77777777" w:rsidR="00EF28FE" w:rsidRPr="001A473D" w:rsidRDefault="00EF28FE" w:rsidP="00EF28FE">
      <w:pPr>
        <w:pStyle w:val="ListParagraph"/>
        <w:numPr>
          <w:ilvl w:val="0"/>
          <w:numId w:val="31"/>
        </w:numPr>
        <w:adjustRightInd w:val="0"/>
        <w:snapToGrid w:val="0"/>
        <w:rPr>
          <w:noProof w:val="0"/>
        </w:rPr>
      </w:pPr>
      <w:r w:rsidRPr="001A473D">
        <w:rPr>
          <w:noProof w:val="0"/>
        </w:rPr>
        <w:lastRenderedPageBreak/>
        <w:t xml:space="preserve">E. Annus, “The Problem of Soviet Colonialism in the Baltics,” </w:t>
      </w:r>
      <w:r w:rsidRPr="001A473D">
        <w:rPr>
          <w:i/>
          <w:iCs/>
          <w:noProof w:val="0"/>
        </w:rPr>
        <w:t>Journal of Baltic Studies</w:t>
      </w:r>
      <w:r w:rsidRPr="001A473D">
        <w:rPr>
          <w:noProof w:val="0"/>
        </w:rPr>
        <w:t>, vol. 43, no. 1, pp. 21–45, Mar. 2012, doi: https://doi.org/10.1080/01629778.2011.628551.</w:t>
      </w:r>
    </w:p>
    <w:p w14:paraId="0892D8AE"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H. R. Varian, “Microeconomics,” </w:t>
      </w:r>
      <w:r w:rsidRPr="001A473D">
        <w:rPr>
          <w:i/>
          <w:iCs/>
          <w:noProof w:val="0"/>
        </w:rPr>
        <w:t>The New Palgrave Dictionary of Economics</w:t>
      </w:r>
      <w:r w:rsidRPr="001A473D">
        <w:rPr>
          <w:noProof w:val="0"/>
        </w:rPr>
        <w:t>, pp. 1–5, 1987, doi: https://doi.org/10.1057/978-1-349-95121-5_1212-1.</w:t>
      </w:r>
    </w:p>
    <w:p w14:paraId="048F2DE8"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R. M. Ryan and E. L. Deci, “On Happiness and Human potentials: a Review of Research on Hedonic and </w:t>
      </w:r>
      <w:proofErr w:type="spellStart"/>
      <w:r w:rsidRPr="001A473D">
        <w:rPr>
          <w:noProof w:val="0"/>
        </w:rPr>
        <w:t>Eudaimonic</w:t>
      </w:r>
      <w:proofErr w:type="spellEnd"/>
      <w:r w:rsidRPr="001A473D">
        <w:rPr>
          <w:noProof w:val="0"/>
        </w:rPr>
        <w:t xml:space="preserve"> well-being,” </w:t>
      </w:r>
      <w:r w:rsidRPr="001A473D">
        <w:rPr>
          <w:i/>
          <w:iCs/>
          <w:noProof w:val="0"/>
        </w:rPr>
        <w:t>Annual review of psychology</w:t>
      </w:r>
      <w:r w:rsidRPr="001A473D">
        <w:rPr>
          <w:noProof w:val="0"/>
        </w:rPr>
        <w:t>, vol. 52, no. 1, pp. 141–66, 2001, doi: https://doi.org/10.1146/annurev.psych.52.1.141.</w:t>
      </w:r>
    </w:p>
    <w:p w14:paraId="03E0D495"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C. </w:t>
      </w:r>
      <w:proofErr w:type="spellStart"/>
      <w:r w:rsidRPr="001A473D">
        <w:rPr>
          <w:noProof w:val="0"/>
        </w:rPr>
        <w:t>Dahlström</w:t>
      </w:r>
      <w:proofErr w:type="spellEnd"/>
      <w:r w:rsidRPr="001A473D">
        <w:rPr>
          <w:noProof w:val="0"/>
        </w:rPr>
        <w:t xml:space="preserve"> and V. </w:t>
      </w:r>
      <w:proofErr w:type="spellStart"/>
      <w:r w:rsidRPr="001A473D">
        <w:rPr>
          <w:noProof w:val="0"/>
        </w:rPr>
        <w:t>Lapuente</w:t>
      </w:r>
      <w:proofErr w:type="spellEnd"/>
      <w:r w:rsidRPr="001A473D">
        <w:rPr>
          <w:noProof w:val="0"/>
        </w:rPr>
        <w:t xml:space="preserve">, “Comparative Bureaucratic Politics,” </w:t>
      </w:r>
      <w:r w:rsidRPr="001A473D">
        <w:rPr>
          <w:i/>
          <w:iCs/>
          <w:noProof w:val="0"/>
        </w:rPr>
        <w:t>Annual Review of Political Science</w:t>
      </w:r>
      <w:r w:rsidRPr="001A473D">
        <w:rPr>
          <w:noProof w:val="0"/>
        </w:rPr>
        <w:t>, vol. 25, no. 1, Feb. 2022, doi: https://doi.org/10.1146/annurev-polisci-051120-102543.</w:t>
      </w:r>
    </w:p>
    <w:p w14:paraId="63480D8D"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Z. Cai, M. Faust, A. J. Hildebrand, J. Li, and Y. Zhang, “The Surprising Accuracy of Benford’s Law in Mathematics,” </w:t>
      </w:r>
      <w:r w:rsidRPr="001A473D">
        <w:rPr>
          <w:i/>
          <w:iCs/>
          <w:noProof w:val="0"/>
        </w:rPr>
        <w:t>The American Mathematical Monthly</w:t>
      </w:r>
      <w:r w:rsidRPr="001A473D">
        <w:rPr>
          <w:noProof w:val="0"/>
        </w:rPr>
        <w:t>, vol. 127, no. 3, pp. 217–237, Feb. 2020, doi: https://doi.org/10.1080/00029890.2020.1690387.</w:t>
      </w:r>
    </w:p>
    <w:p w14:paraId="5E3CC79E"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S. </w:t>
      </w:r>
      <w:proofErr w:type="spellStart"/>
      <w:r w:rsidRPr="001A473D">
        <w:rPr>
          <w:noProof w:val="0"/>
        </w:rPr>
        <w:t>Dehaene</w:t>
      </w:r>
      <w:proofErr w:type="spellEnd"/>
      <w:r w:rsidRPr="001A473D">
        <w:rPr>
          <w:noProof w:val="0"/>
        </w:rPr>
        <w:t xml:space="preserve">, V. Izard, E. </w:t>
      </w:r>
      <w:proofErr w:type="spellStart"/>
      <w:r w:rsidRPr="001A473D">
        <w:rPr>
          <w:noProof w:val="0"/>
        </w:rPr>
        <w:t>Spelke</w:t>
      </w:r>
      <w:proofErr w:type="spellEnd"/>
      <w:r w:rsidRPr="001A473D">
        <w:rPr>
          <w:noProof w:val="0"/>
        </w:rPr>
        <w:t xml:space="preserve">, and P. Pica, “Log or Linear? Distinct Intuitions of the Number Scale in Western and Amazonian Indigene Cultures,” </w:t>
      </w:r>
      <w:r w:rsidRPr="001A473D">
        <w:rPr>
          <w:i/>
          <w:iCs/>
          <w:noProof w:val="0"/>
        </w:rPr>
        <w:t>Science</w:t>
      </w:r>
      <w:r w:rsidRPr="001A473D">
        <w:rPr>
          <w:noProof w:val="0"/>
        </w:rPr>
        <w:t>, vol. 320, no. 5880, pp. 1217–1220, May 2008, doi: https://doi.org/10.1126/science.1156540.</w:t>
      </w:r>
    </w:p>
    <w:p w14:paraId="5CC2D9BB"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M. J. Nigrini, </w:t>
      </w:r>
      <w:r w:rsidRPr="001A473D">
        <w:rPr>
          <w:i/>
          <w:iCs/>
          <w:noProof w:val="0"/>
        </w:rPr>
        <w:t>Benford’s law : applications for forensic accounting, auditing, and fraud detection</w:t>
      </w:r>
      <w:r w:rsidRPr="001A473D">
        <w:rPr>
          <w:noProof w:val="0"/>
        </w:rPr>
        <w:t>. Hoboken, New Jersey: Wiley, 2012.</w:t>
      </w:r>
    </w:p>
    <w:p w14:paraId="3A27B2E6"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A. Berger and T. P. Hill, “The mathematics of Benford’s law: a primer,” </w:t>
      </w:r>
      <w:r w:rsidRPr="001A473D">
        <w:rPr>
          <w:i/>
          <w:iCs/>
          <w:noProof w:val="0"/>
        </w:rPr>
        <w:t>Statistical Methods &amp; Applications</w:t>
      </w:r>
      <w:r w:rsidRPr="001A473D">
        <w:rPr>
          <w:noProof w:val="0"/>
        </w:rPr>
        <w:t>, Jun. 2020, doi: https://doi.org/10.1007/s10260-020-00532-8.</w:t>
      </w:r>
    </w:p>
    <w:p w14:paraId="200704D6"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T. P. Hill, “A Statistical Derivation of the Significant-Digit Law,” </w:t>
      </w:r>
      <w:r w:rsidRPr="001A473D">
        <w:rPr>
          <w:i/>
          <w:iCs/>
          <w:noProof w:val="0"/>
        </w:rPr>
        <w:t>Statistical Science</w:t>
      </w:r>
      <w:r w:rsidRPr="001A473D">
        <w:rPr>
          <w:noProof w:val="0"/>
        </w:rPr>
        <w:t>, vol. 10, no. 4, pp. 354–363, Nov. 1995, doi: https://doi.org/10.1214/ss/1177009869.</w:t>
      </w:r>
    </w:p>
    <w:p w14:paraId="48515311"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I. Mbona and J. H. P. Eloff, “Feature selection using Benford’s law to support detection of malicious social media bots,” </w:t>
      </w:r>
      <w:r w:rsidRPr="001A473D">
        <w:rPr>
          <w:i/>
          <w:iCs/>
          <w:noProof w:val="0"/>
        </w:rPr>
        <w:t>Information Sciences</w:t>
      </w:r>
      <w:r w:rsidRPr="001A473D">
        <w:rPr>
          <w:noProof w:val="0"/>
        </w:rPr>
        <w:t>, vol. 582, pp. 369–381, Jan. 2022, doi: https://doi.org/10.1016/j.ins.2021.09.038.</w:t>
      </w:r>
    </w:p>
    <w:p w14:paraId="72EC9E65"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A. Tošić and J. Vičič, “Use of Benford’s law on academic publishing networks,” </w:t>
      </w:r>
      <w:r w:rsidRPr="001A473D">
        <w:rPr>
          <w:i/>
          <w:iCs/>
          <w:noProof w:val="0"/>
        </w:rPr>
        <w:t>Journal of Informetrics</w:t>
      </w:r>
      <w:r w:rsidRPr="001A473D">
        <w:rPr>
          <w:noProof w:val="0"/>
        </w:rPr>
        <w:t>, vol. 15, no. 3, p. 101163, Aug. 2021, doi: https://doi.org/10.1016/j.joi.2021.101163.</w:t>
      </w:r>
      <w:r w:rsidRPr="001A473D">
        <w:t xml:space="preserve"> </w:t>
      </w:r>
    </w:p>
    <w:p w14:paraId="6B995924" w14:textId="1E71D9C9" w:rsidR="00B467CB" w:rsidRPr="001A473D" w:rsidRDefault="00B467CB" w:rsidP="00B467CB">
      <w:pPr>
        <w:pStyle w:val="ListParagraph"/>
        <w:numPr>
          <w:ilvl w:val="0"/>
          <w:numId w:val="31"/>
        </w:numPr>
        <w:adjustRightInd w:val="0"/>
        <w:snapToGrid w:val="0"/>
        <w:rPr>
          <w:noProof w:val="0"/>
        </w:rPr>
      </w:pPr>
      <w:r w:rsidRPr="001A473D">
        <w:rPr>
          <w:noProof w:val="0"/>
        </w:rPr>
        <w:t xml:space="preserve">H. Chen, “The Success of Cisco Systems, Inc.’s Human Resource Management Strategy,” </w:t>
      </w:r>
      <w:r w:rsidRPr="001A473D">
        <w:rPr>
          <w:i/>
          <w:iCs/>
          <w:noProof w:val="0"/>
        </w:rPr>
        <w:t>Journal of Service Science and Management</w:t>
      </w:r>
      <w:r w:rsidRPr="001A473D">
        <w:rPr>
          <w:noProof w:val="0"/>
        </w:rPr>
        <w:t>, vol. 10, no. 03, pp. 206–215, 2017, doi: https://doi.org/10.4236/jssm.2017.103018.</w:t>
      </w:r>
    </w:p>
    <w:p w14:paraId="75D4A90B" w14:textId="7DE8B533" w:rsidR="00B467CB" w:rsidRPr="001A473D" w:rsidRDefault="00B467CB" w:rsidP="00B467CB">
      <w:pPr>
        <w:pStyle w:val="ListParagraph"/>
        <w:numPr>
          <w:ilvl w:val="0"/>
          <w:numId w:val="31"/>
        </w:numPr>
        <w:adjustRightInd w:val="0"/>
        <w:snapToGrid w:val="0"/>
        <w:rPr>
          <w:noProof w:val="0"/>
        </w:rPr>
      </w:pPr>
      <w:r w:rsidRPr="001A473D">
        <w:rPr>
          <w:noProof w:val="0"/>
        </w:rPr>
        <w:t xml:space="preserve">“Bay Networks, Inc. - 1998 ( Now Nortel ),” </w:t>
      </w:r>
      <w:r w:rsidRPr="001A473D">
        <w:rPr>
          <w:i/>
          <w:iCs/>
          <w:noProof w:val="0"/>
        </w:rPr>
        <w:t>Scripophily.com | Collect Stocks and Bonds | Old Stock Certificates for Sale | Old Stock Research | RM Smythe |</w:t>
      </w:r>
      <w:r w:rsidRPr="001A473D">
        <w:rPr>
          <w:noProof w:val="0"/>
        </w:rPr>
        <w:t>. https://scripophily.net/bay-networks-inc-1998-now-nortel/ (accessed Mar. 31, 2023).</w:t>
      </w:r>
    </w:p>
    <w:p w14:paraId="5222FD52" w14:textId="68802BB6" w:rsidR="00B467CB" w:rsidRPr="001A473D" w:rsidRDefault="00B467CB" w:rsidP="00B467CB">
      <w:pPr>
        <w:pStyle w:val="ListParagraph"/>
        <w:numPr>
          <w:ilvl w:val="0"/>
          <w:numId w:val="31"/>
        </w:numPr>
        <w:adjustRightInd w:val="0"/>
        <w:snapToGrid w:val="0"/>
        <w:rPr>
          <w:noProof w:val="0"/>
        </w:rPr>
      </w:pPr>
      <w:r w:rsidRPr="001A473D">
        <w:rPr>
          <w:noProof w:val="0"/>
        </w:rPr>
        <w:t xml:space="preserve">X. Yang and X. Yu, “Preventing Patent Risks in Artificial Intelligence Industry for Sustainable Development: A Multi-Level Network Analysis,” </w:t>
      </w:r>
      <w:r w:rsidRPr="001A473D">
        <w:rPr>
          <w:i/>
          <w:iCs/>
          <w:noProof w:val="0"/>
        </w:rPr>
        <w:t>Sustainability</w:t>
      </w:r>
      <w:r w:rsidRPr="001A473D">
        <w:rPr>
          <w:noProof w:val="0"/>
        </w:rPr>
        <w:t>, vol. 12, no. 20, p. 8667, Oct. 2020, doi: https://doi.org/10.3390/su12208667.</w:t>
      </w:r>
    </w:p>
    <w:p w14:paraId="7425D5EB" w14:textId="76367131" w:rsidR="00B467CB" w:rsidRPr="001A473D" w:rsidRDefault="00B467CB" w:rsidP="00B467CB">
      <w:pPr>
        <w:pStyle w:val="ListParagraph"/>
        <w:numPr>
          <w:ilvl w:val="0"/>
          <w:numId w:val="31"/>
        </w:numPr>
        <w:adjustRightInd w:val="0"/>
        <w:snapToGrid w:val="0"/>
        <w:rPr>
          <w:noProof w:val="0"/>
        </w:rPr>
      </w:pPr>
      <w:r w:rsidRPr="001A473D">
        <w:rPr>
          <w:noProof w:val="0"/>
        </w:rPr>
        <w:t xml:space="preserve">L. Puente and L. Wilson, “Racial Discrimination in TARP Investments,” </w:t>
      </w:r>
      <w:r w:rsidRPr="001A473D">
        <w:rPr>
          <w:i/>
          <w:iCs/>
          <w:noProof w:val="0"/>
        </w:rPr>
        <w:t>SSRN Electronic Journal</w:t>
      </w:r>
      <w:r w:rsidRPr="001A473D">
        <w:rPr>
          <w:noProof w:val="0"/>
        </w:rPr>
        <w:t>, 2013, doi: https://doi.org/10.2139/ssrn.2247043.</w:t>
      </w:r>
    </w:p>
    <w:p w14:paraId="34077789" w14:textId="46CC02BF" w:rsidR="001A473D" w:rsidRPr="001A473D" w:rsidRDefault="001A473D" w:rsidP="001A473D">
      <w:pPr>
        <w:pStyle w:val="ListParagraph"/>
        <w:numPr>
          <w:ilvl w:val="0"/>
          <w:numId w:val="31"/>
        </w:numPr>
        <w:adjustRightInd w:val="0"/>
        <w:snapToGrid w:val="0"/>
        <w:rPr>
          <w:noProof w:val="0"/>
        </w:rPr>
      </w:pPr>
      <w:r w:rsidRPr="001A473D">
        <w:rPr>
          <w:noProof w:val="0"/>
        </w:rPr>
        <w:t xml:space="preserve">F. Li, “Internal Control of Commercial Banks—Based on Case Study of Shanghai Pudong Development Bank,” </w:t>
      </w:r>
      <w:r w:rsidRPr="001A473D">
        <w:rPr>
          <w:i/>
          <w:iCs/>
          <w:noProof w:val="0"/>
        </w:rPr>
        <w:t>Modern Economy</w:t>
      </w:r>
      <w:r w:rsidRPr="001A473D">
        <w:rPr>
          <w:noProof w:val="0"/>
        </w:rPr>
        <w:t>, vol. 11, no. 02, pp. 230–238, 2020, doi: https://doi.org/10.4236/me.2020.112020.</w:t>
      </w:r>
    </w:p>
    <w:p w14:paraId="46265B67" w14:textId="4D82116C" w:rsidR="001A473D" w:rsidRPr="001A473D" w:rsidRDefault="001A473D" w:rsidP="001A473D">
      <w:pPr>
        <w:pStyle w:val="ListParagraph"/>
        <w:numPr>
          <w:ilvl w:val="0"/>
          <w:numId w:val="31"/>
        </w:numPr>
        <w:adjustRightInd w:val="0"/>
        <w:snapToGrid w:val="0"/>
        <w:rPr>
          <w:noProof w:val="0"/>
        </w:rPr>
      </w:pPr>
      <w:r w:rsidRPr="001A473D">
        <w:rPr>
          <w:noProof w:val="0"/>
        </w:rPr>
        <w:t xml:space="preserve">M. J. Maura-Pérez and H. Romero-Perez, “Factors related to the failure of FDIC-insured US banks,” </w:t>
      </w:r>
      <w:r w:rsidRPr="001A473D">
        <w:rPr>
          <w:i/>
          <w:iCs/>
          <w:noProof w:val="0"/>
        </w:rPr>
        <w:t>Journal of Financial Regulation and Compliance</w:t>
      </w:r>
      <w:r w:rsidRPr="001A473D">
        <w:rPr>
          <w:noProof w:val="0"/>
        </w:rPr>
        <w:t>, vol. ahead-of-print, no. ahead-of-print, Aug. 2021, doi: https://doi.org/10.1108/jfrc-08-2020-0075.</w:t>
      </w:r>
    </w:p>
    <w:p w14:paraId="0DCA69BF" w14:textId="666268D6" w:rsidR="00EF28FE" w:rsidRPr="001A473D" w:rsidRDefault="001A473D" w:rsidP="001A473D">
      <w:pPr>
        <w:pStyle w:val="ListParagraph"/>
        <w:numPr>
          <w:ilvl w:val="0"/>
          <w:numId w:val="31"/>
        </w:numPr>
        <w:adjustRightInd w:val="0"/>
        <w:snapToGrid w:val="0"/>
        <w:rPr>
          <w:noProof w:val="0"/>
        </w:rPr>
      </w:pPr>
      <w:r w:rsidRPr="001A473D">
        <w:rPr>
          <w:rFonts w:ascii="Times New Roman" w:hAnsi="Times New Roman"/>
          <w:noProof w:val="0"/>
        </w:rPr>
        <w:t>‌</w:t>
      </w:r>
      <w:r w:rsidR="00EF28FE" w:rsidRPr="001A473D">
        <w:rPr>
          <w:noProof w:val="0"/>
        </w:rPr>
        <w:t xml:space="preserve">S. Newcomb, “Note on the Frequency of Use of the Different Digits in Natural Numbers,” </w:t>
      </w:r>
      <w:r w:rsidR="00EF28FE" w:rsidRPr="001A473D">
        <w:rPr>
          <w:i/>
          <w:iCs/>
          <w:noProof w:val="0"/>
        </w:rPr>
        <w:t>American Journal of Mathematics</w:t>
      </w:r>
      <w:r w:rsidR="00EF28FE" w:rsidRPr="001A473D">
        <w:rPr>
          <w:noProof w:val="0"/>
        </w:rPr>
        <w:t>, vol. 4, no. 1/4, p. 39, 1881, doi: https://doi.org/10.2307/2369148.</w:t>
      </w:r>
    </w:p>
    <w:p w14:paraId="29477BD6"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J. Michael. Oakes and P. H. Rossi, “The measurement of SES in health research: current practice and steps toward a new approach,” </w:t>
      </w:r>
      <w:r w:rsidRPr="001A473D">
        <w:rPr>
          <w:i/>
          <w:iCs/>
          <w:noProof w:val="0"/>
        </w:rPr>
        <w:t>Social Science &amp; Medicine</w:t>
      </w:r>
      <w:r w:rsidRPr="001A473D">
        <w:rPr>
          <w:noProof w:val="0"/>
        </w:rPr>
        <w:t xml:space="preserve">, vol. 56, no. 4, pp. 769–784, Feb. 2003, doi: https://doi.org/10.1016/s0277-9536(02)00073-4. </w:t>
      </w:r>
    </w:p>
    <w:p w14:paraId="3666841B"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M. Moore and T. Colley, “Two International Propaganda Models: Comparing RT and CGTN’s 2020 US Election Coverage,” </w:t>
      </w:r>
      <w:r w:rsidRPr="001A473D">
        <w:rPr>
          <w:i/>
          <w:iCs/>
          <w:noProof w:val="0"/>
        </w:rPr>
        <w:t>Journalism Practice</w:t>
      </w:r>
      <w:r w:rsidRPr="001A473D">
        <w:rPr>
          <w:noProof w:val="0"/>
        </w:rPr>
        <w:t xml:space="preserve">, pp. 1–23, Jun. 2022, doi: https://doi.org/10.1080/17512786.2022.2086157. </w:t>
      </w:r>
    </w:p>
    <w:p w14:paraId="15E6BE9A"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R. S. </w:t>
      </w:r>
      <w:proofErr w:type="spellStart"/>
      <w:r w:rsidRPr="001A473D">
        <w:rPr>
          <w:noProof w:val="0"/>
        </w:rPr>
        <w:t>Waples</w:t>
      </w:r>
      <w:proofErr w:type="spellEnd"/>
      <w:r w:rsidRPr="001A473D">
        <w:rPr>
          <w:noProof w:val="0"/>
        </w:rPr>
        <w:t xml:space="preserve">, “Guidelines for genetic data analysis,” </w:t>
      </w:r>
      <w:r w:rsidRPr="001A473D">
        <w:rPr>
          <w:i/>
          <w:iCs/>
          <w:noProof w:val="0"/>
        </w:rPr>
        <w:t>J. Cetacean Res. Manage</w:t>
      </w:r>
      <w:r w:rsidRPr="001A473D">
        <w:rPr>
          <w:noProof w:val="0"/>
        </w:rPr>
        <w:t>., vol. 18, no. 1, pp. 33–80, Jan. 2023, doi: https://doi.org/10.47536/jcrm.v18i1.421.</w:t>
      </w:r>
      <w:r w:rsidRPr="001A473D">
        <w:t xml:space="preserve"> </w:t>
      </w:r>
    </w:p>
    <w:p w14:paraId="502AD5AA"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C. </w:t>
      </w:r>
      <w:proofErr w:type="spellStart"/>
      <w:r w:rsidRPr="001A473D">
        <w:rPr>
          <w:noProof w:val="0"/>
        </w:rPr>
        <w:t>Salemi</w:t>
      </w:r>
      <w:proofErr w:type="spellEnd"/>
      <w:r w:rsidRPr="001A473D">
        <w:rPr>
          <w:noProof w:val="0"/>
        </w:rPr>
        <w:t xml:space="preserve">, M. T. Canola, and E. K. Eck, “Hand Washing and Physicians: How to Get Them Together,” </w:t>
      </w:r>
      <w:r w:rsidRPr="001A473D">
        <w:rPr>
          <w:i/>
          <w:iCs/>
          <w:noProof w:val="0"/>
        </w:rPr>
        <w:t>Infection Control &amp; Hospital Epidemiology</w:t>
      </w:r>
      <w:r w:rsidRPr="001A473D">
        <w:rPr>
          <w:noProof w:val="0"/>
        </w:rPr>
        <w:t>, vol. 23, no. 1, pp. 32–35, Jan. 2002, doi: https://doi.org/10.1086/501965.</w:t>
      </w:r>
      <w:r w:rsidRPr="001A473D">
        <w:t xml:space="preserve"> </w:t>
      </w:r>
    </w:p>
    <w:p w14:paraId="1653ABAF" w14:textId="77777777" w:rsidR="00EF28FE" w:rsidRPr="001A473D" w:rsidRDefault="00EF28FE" w:rsidP="00EF28FE">
      <w:pPr>
        <w:pStyle w:val="ListParagraph"/>
        <w:numPr>
          <w:ilvl w:val="0"/>
          <w:numId w:val="31"/>
        </w:numPr>
        <w:adjustRightInd w:val="0"/>
        <w:snapToGrid w:val="0"/>
        <w:rPr>
          <w:noProof w:val="0"/>
        </w:rPr>
      </w:pPr>
      <w:r w:rsidRPr="001A473D">
        <w:rPr>
          <w:noProof w:val="0"/>
        </w:rPr>
        <w:lastRenderedPageBreak/>
        <w:t xml:space="preserve">S. </w:t>
      </w:r>
      <w:proofErr w:type="spellStart"/>
      <w:r w:rsidRPr="001A473D">
        <w:rPr>
          <w:noProof w:val="0"/>
        </w:rPr>
        <w:t>Yitzhaki</w:t>
      </w:r>
      <w:proofErr w:type="spellEnd"/>
      <w:r w:rsidRPr="001A473D">
        <w:rPr>
          <w:noProof w:val="0"/>
        </w:rPr>
        <w:t xml:space="preserve"> and P. J. Lambert, “The Relationship between the Gini and the Mean Absolute Deviation,” </w:t>
      </w:r>
      <w:r w:rsidRPr="001A473D">
        <w:rPr>
          <w:i/>
          <w:iCs/>
          <w:noProof w:val="0"/>
        </w:rPr>
        <w:t>SSRN Electronic Journal</w:t>
      </w:r>
      <w:r w:rsidRPr="001A473D">
        <w:rPr>
          <w:noProof w:val="0"/>
        </w:rPr>
        <w:t>, 2011, doi: https://doi.org/10.2139/ssrn.1945705.</w:t>
      </w:r>
      <w:r w:rsidRPr="001A473D">
        <w:t xml:space="preserve"> </w:t>
      </w:r>
    </w:p>
    <w:p w14:paraId="22EE12A5"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D. K. Campbell-Meiklejohn et al., “Structure of orbitofrontal cortex predicts social influence,” </w:t>
      </w:r>
      <w:r w:rsidRPr="001A473D">
        <w:rPr>
          <w:i/>
          <w:iCs/>
          <w:noProof w:val="0"/>
        </w:rPr>
        <w:t>Current Biology</w:t>
      </w:r>
      <w:r w:rsidRPr="001A473D">
        <w:rPr>
          <w:noProof w:val="0"/>
        </w:rPr>
        <w:t>, vol. 22, no. 4, pp. R123–R124, Feb. 2012, doi: https://doi.org/10.1016/j.cub.2012.01.012.</w:t>
      </w:r>
      <w:r w:rsidRPr="001A473D">
        <w:t xml:space="preserve"> </w:t>
      </w:r>
    </w:p>
    <w:p w14:paraId="224E1504" w14:textId="77777777" w:rsidR="00EF28FE" w:rsidRPr="001A473D" w:rsidRDefault="00EF28FE" w:rsidP="00EF28FE">
      <w:pPr>
        <w:pStyle w:val="ListParagraph"/>
        <w:numPr>
          <w:ilvl w:val="0"/>
          <w:numId w:val="31"/>
        </w:numPr>
        <w:adjustRightInd w:val="0"/>
        <w:snapToGrid w:val="0"/>
        <w:rPr>
          <w:noProof w:val="0"/>
        </w:rPr>
      </w:pPr>
      <w:r w:rsidRPr="001A473D">
        <w:rPr>
          <w:noProof w:val="0"/>
        </w:rPr>
        <w:t xml:space="preserve">W. Cash, “Parameter estimation in astronomy through application of the likelihood ratio,” </w:t>
      </w:r>
      <w:r w:rsidRPr="001A473D">
        <w:rPr>
          <w:i/>
          <w:iCs/>
          <w:noProof w:val="0"/>
        </w:rPr>
        <w:t>The Astrophysical Journal</w:t>
      </w:r>
      <w:r w:rsidRPr="001A473D">
        <w:rPr>
          <w:noProof w:val="0"/>
        </w:rPr>
        <w:t>, vol. 228, p. 939, Mar. 1979, doi: https://doi.org/10.1086/156922.</w:t>
      </w:r>
    </w:p>
    <w:p w14:paraId="28890276" w14:textId="12FA9BCF" w:rsidR="00EF28FE" w:rsidRPr="001A473D" w:rsidRDefault="00EF28FE" w:rsidP="001A473D">
      <w:pPr>
        <w:pStyle w:val="ListParagraph"/>
        <w:numPr>
          <w:ilvl w:val="0"/>
          <w:numId w:val="31"/>
        </w:numPr>
        <w:adjustRightInd w:val="0"/>
        <w:snapToGrid w:val="0"/>
        <w:rPr>
          <w:noProof w:val="0"/>
        </w:rPr>
      </w:pPr>
      <w:r w:rsidRPr="001A473D">
        <w:rPr>
          <w:rFonts w:ascii="Times New Roman" w:hAnsi="Times New Roman"/>
          <w:noProof w:val="0"/>
        </w:rPr>
        <w:t>‌</w:t>
      </w:r>
      <w:r w:rsidR="001A473D">
        <w:rPr>
          <w:noProof w:val="0"/>
        </w:rPr>
        <w:t xml:space="preserve">M. Ferrary and M. </w:t>
      </w:r>
      <w:proofErr w:type="spellStart"/>
      <w:r w:rsidR="001A473D">
        <w:rPr>
          <w:noProof w:val="0"/>
        </w:rPr>
        <w:t>Granovetter</w:t>
      </w:r>
      <w:proofErr w:type="spellEnd"/>
      <w:r w:rsidR="001A473D">
        <w:rPr>
          <w:noProof w:val="0"/>
        </w:rPr>
        <w:t xml:space="preserve">, “The role of venture capital firms in Silicon Valley’s complex innovation network,” </w:t>
      </w:r>
      <w:r w:rsidR="001A473D" w:rsidRPr="001A473D">
        <w:rPr>
          <w:i/>
          <w:iCs/>
          <w:noProof w:val="0"/>
        </w:rPr>
        <w:t>Economy and Society</w:t>
      </w:r>
      <w:r w:rsidR="001A473D">
        <w:rPr>
          <w:noProof w:val="0"/>
        </w:rPr>
        <w:t>, vol. 38, no. 2, pp. 326–359, May 2009, doi: https://doi.org/10.1080/03085140902786827.</w:t>
      </w:r>
    </w:p>
    <w:p w14:paraId="23F2C83B" w14:textId="77777777" w:rsidR="00EF28FE" w:rsidRPr="00B96FF3" w:rsidRDefault="00EF28FE" w:rsidP="00B96FF3">
      <w:pPr>
        <w:pStyle w:val="ListParagraph"/>
        <w:spacing w:line="0" w:lineRule="atLeast"/>
        <w:ind w:left="2552"/>
        <w:rPr>
          <w:rFonts w:eastAsia="Times New Roman"/>
          <w:iCs/>
          <w:noProof w:val="0"/>
          <w:snapToGrid w:val="0"/>
          <w:szCs w:val="22"/>
          <w:lang w:eastAsia="de-DE" w:bidi="en-US"/>
        </w:rPr>
      </w:pPr>
    </w:p>
    <w:sectPr w:rsidR="00EF28FE" w:rsidRPr="00B96FF3" w:rsidSect="0049029D">
      <w:headerReference w:type="even" r:id="rId26"/>
      <w:headerReference w:type="default" r:id="rId27"/>
      <w:footerReference w:type="default" r:id="rId28"/>
      <w:headerReference w:type="first" r:id="rId29"/>
      <w:footerReference w:type="first" r:id="rId3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B6DB" w14:textId="77777777" w:rsidR="003B6A49" w:rsidRDefault="003B6A49">
      <w:pPr>
        <w:spacing w:line="240" w:lineRule="auto"/>
      </w:pPr>
      <w:r>
        <w:separator/>
      </w:r>
    </w:p>
  </w:endnote>
  <w:endnote w:type="continuationSeparator" w:id="0">
    <w:p w14:paraId="62D22C07" w14:textId="77777777" w:rsidR="003B6A49" w:rsidRDefault="003B6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77EF" w14:textId="77777777" w:rsidR="003B6A49" w:rsidRDefault="003B6A49">
      <w:pPr>
        <w:spacing w:line="240" w:lineRule="auto"/>
      </w:pPr>
      <w:r>
        <w:separator/>
      </w:r>
    </w:p>
  </w:footnote>
  <w:footnote w:type="continuationSeparator" w:id="0">
    <w:p w14:paraId="1057DBBB" w14:textId="77777777" w:rsidR="003B6A49" w:rsidRDefault="003B6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2358"/>
    <w:rsid w:val="000075B7"/>
    <w:rsid w:val="00027999"/>
    <w:rsid w:val="00030A56"/>
    <w:rsid w:val="00031ACF"/>
    <w:rsid w:val="000407F1"/>
    <w:rsid w:val="00051DDA"/>
    <w:rsid w:val="00056D71"/>
    <w:rsid w:val="00061B1E"/>
    <w:rsid w:val="00061C1C"/>
    <w:rsid w:val="00063A94"/>
    <w:rsid w:val="00073117"/>
    <w:rsid w:val="000779E3"/>
    <w:rsid w:val="00077A23"/>
    <w:rsid w:val="000835A5"/>
    <w:rsid w:val="00094B39"/>
    <w:rsid w:val="000A16F4"/>
    <w:rsid w:val="000B63BA"/>
    <w:rsid w:val="000C24A9"/>
    <w:rsid w:val="000C2A84"/>
    <w:rsid w:val="000C7AB4"/>
    <w:rsid w:val="000E0476"/>
    <w:rsid w:val="000E7228"/>
    <w:rsid w:val="000F3770"/>
    <w:rsid w:val="00105F6D"/>
    <w:rsid w:val="001072A7"/>
    <w:rsid w:val="0010747B"/>
    <w:rsid w:val="00107CEC"/>
    <w:rsid w:val="0011600E"/>
    <w:rsid w:val="00122A7C"/>
    <w:rsid w:val="00124D69"/>
    <w:rsid w:val="001274EA"/>
    <w:rsid w:val="00127920"/>
    <w:rsid w:val="0013285F"/>
    <w:rsid w:val="00136446"/>
    <w:rsid w:val="00140447"/>
    <w:rsid w:val="00147BC3"/>
    <w:rsid w:val="0015660F"/>
    <w:rsid w:val="00157E7C"/>
    <w:rsid w:val="00167387"/>
    <w:rsid w:val="00177630"/>
    <w:rsid w:val="001818AF"/>
    <w:rsid w:val="001838B0"/>
    <w:rsid w:val="001858B9"/>
    <w:rsid w:val="00190D3F"/>
    <w:rsid w:val="00193C93"/>
    <w:rsid w:val="00196466"/>
    <w:rsid w:val="001A2940"/>
    <w:rsid w:val="001A3B56"/>
    <w:rsid w:val="001A472B"/>
    <w:rsid w:val="001A473D"/>
    <w:rsid w:val="001B3594"/>
    <w:rsid w:val="001B59F9"/>
    <w:rsid w:val="001C79EC"/>
    <w:rsid w:val="001D00F2"/>
    <w:rsid w:val="001D2666"/>
    <w:rsid w:val="001D5666"/>
    <w:rsid w:val="001E2AEB"/>
    <w:rsid w:val="001E3A54"/>
    <w:rsid w:val="001E5BC4"/>
    <w:rsid w:val="001F31ED"/>
    <w:rsid w:val="002112FC"/>
    <w:rsid w:val="00220BFD"/>
    <w:rsid w:val="00225DEE"/>
    <w:rsid w:val="00226D97"/>
    <w:rsid w:val="00230496"/>
    <w:rsid w:val="00236381"/>
    <w:rsid w:val="002463CE"/>
    <w:rsid w:val="00254C7B"/>
    <w:rsid w:val="00255229"/>
    <w:rsid w:val="00266D05"/>
    <w:rsid w:val="00273F5F"/>
    <w:rsid w:val="0027522A"/>
    <w:rsid w:val="00282A3D"/>
    <w:rsid w:val="00282DDC"/>
    <w:rsid w:val="00283D9D"/>
    <w:rsid w:val="00285FCA"/>
    <w:rsid w:val="002875E7"/>
    <w:rsid w:val="00287F77"/>
    <w:rsid w:val="002905B3"/>
    <w:rsid w:val="002914D4"/>
    <w:rsid w:val="002922A8"/>
    <w:rsid w:val="002928E3"/>
    <w:rsid w:val="002A18DC"/>
    <w:rsid w:val="002A38B7"/>
    <w:rsid w:val="002A4156"/>
    <w:rsid w:val="002A7C02"/>
    <w:rsid w:val="002A7E0A"/>
    <w:rsid w:val="002B04D8"/>
    <w:rsid w:val="002B3ED9"/>
    <w:rsid w:val="002C2614"/>
    <w:rsid w:val="002C3ECA"/>
    <w:rsid w:val="002C410F"/>
    <w:rsid w:val="002D480C"/>
    <w:rsid w:val="002F30BA"/>
    <w:rsid w:val="002F408E"/>
    <w:rsid w:val="00301DBA"/>
    <w:rsid w:val="003024E2"/>
    <w:rsid w:val="00310C53"/>
    <w:rsid w:val="00316E17"/>
    <w:rsid w:val="0032503E"/>
    <w:rsid w:val="00326141"/>
    <w:rsid w:val="00335390"/>
    <w:rsid w:val="00342D34"/>
    <w:rsid w:val="0035055A"/>
    <w:rsid w:val="00355970"/>
    <w:rsid w:val="003677F2"/>
    <w:rsid w:val="00370DC6"/>
    <w:rsid w:val="00377D48"/>
    <w:rsid w:val="00382BD2"/>
    <w:rsid w:val="00393950"/>
    <w:rsid w:val="00396FA4"/>
    <w:rsid w:val="003A0977"/>
    <w:rsid w:val="003A1784"/>
    <w:rsid w:val="003A5270"/>
    <w:rsid w:val="003B00FE"/>
    <w:rsid w:val="003B1A90"/>
    <w:rsid w:val="003B6A49"/>
    <w:rsid w:val="003C06A1"/>
    <w:rsid w:val="003C2487"/>
    <w:rsid w:val="003C5BD7"/>
    <w:rsid w:val="003C60B0"/>
    <w:rsid w:val="003E3EDD"/>
    <w:rsid w:val="003E6091"/>
    <w:rsid w:val="003F4DA0"/>
    <w:rsid w:val="003F73A2"/>
    <w:rsid w:val="004016B1"/>
    <w:rsid w:val="00401D30"/>
    <w:rsid w:val="004074AF"/>
    <w:rsid w:val="00443375"/>
    <w:rsid w:val="0044559C"/>
    <w:rsid w:val="0048153C"/>
    <w:rsid w:val="0049029D"/>
    <w:rsid w:val="00492B48"/>
    <w:rsid w:val="00493502"/>
    <w:rsid w:val="0049536C"/>
    <w:rsid w:val="004A506A"/>
    <w:rsid w:val="004C564D"/>
    <w:rsid w:val="004C69A9"/>
    <w:rsid w:val="004E4638"/>
    <w:rsid w:val="004F4CC9"/>
    <w:rsid w:val="004F760A"/>
    <w:rsid w:val="00503E9B"/>
    <w:rsid w:val="005067EE"/>
    <w:rsid w:val="005164CF"/>
    <w:rsid w:val="00526FED"/>
    <w:rsid w:val="005313B2"/>
    <w:rsid w:val="00534E89"/>
    <w:rsid w:val="00535B2C"/>
    <w:rsid w:val="005559FE"/>
    <w:rsid w:val="00573959"/>
    <w:rsid w:val="005769C1"/>
    <w:rsid w:val="00576FD6"/>
    <w:rsid w:val="005825F5"/>
    <w:rsid w:val="005A5FAD"/>
    <w:rsid w:val="005B25F4"/>
    <w:rsid w:val="005B71C6"/>
    <w:rsid w:val="005C0107"/>
    <w:rsid w:val="005C0D74"/>
    <w:rsid w:val="005D2D20"/>
    <w:rsid w:val="005E1449"/>
    <w:rsid w:val="005F19C4"/>
    <w:rsid w:val="005F2787"/>
    <w:rsid w:val="005F2CA4"/>
    <w:rsid w:val="00600231"/>
    <w:rsid w:val="006205F9"/>
    <w:rsid w:val="00633F77"/>
    <w:rsid w:val="00636292"/>
    <w:rsid w:val="006449F0"/>
    <w:rsid w:val="00647BC3"/>
    <w:rsid w:val="006514B8"/>
    <w:rsid w:val="006565D5"/>
    <w:rsid w:val="0066295B"/>
    <w:rsid w:val="006702E5"/>
    <w:rsid w:val="00676CF2"/>
    <w:rsid w:val="00692393"/>
    <w:rsid w:val="00695C09"/>
    <w:rsid w:val="006A6CEC"/>
    <w:rsid w:val="006B1403"/>
    <w:rsid w:val="006B5D37"/>
    <w:rsid w:val="006C4D99"/>
    <w:rsid w:val="006D2B24"/>
    <w:rsid w:val="006E46C8"/>
    <w:rsid w:val="0070389B"/>
    <w:rsid w:val="00710D58"/>
    <w:rsid w:val="0071219B"/>
    <w:rsid w:val="00713BA8"/>
    <w:rsid w:val="007156F7"/>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D2AA1"/>
    <w:rsid w:val="007E0233"/>
    <w:rsid w:val="007E46E6"/>
    <w:rsid w:val="007F0330"/>
    <w:rsid w:val="007F377A"/>
    <w:rsid w:val="008023CC"/>
    <w:rsid w:val="00812671"/>
    <w:rsid w:val="00815517"/>
    <w:rsid w:val="008170D8"/>
    <w:rsid w:val="00820751"/>
    <w:rsid w:val="00837C51"/>
    <w:rsid w:val="008721B1"/>
    <w:rsid w:val="008824F7"/>
    <w:rsid w:val="00894302"/>
    <w:rsid w:val="008965CE"/>
    <w:rsid w:val="00896D8A"/>
    <w:rsid w:val="008A0238"/>
    <w:rsid w:val="008A0D09"/>
    <w:rsid w:val="008A29A2"/>
    <w:rsid w:val="008A3B09"/>
    <w:rsid w:val="008B3B4D"/>
    <w:rsid w:val="008B6FEA"/>
    <w:rsid w:val="008C5901"/>
    <w:rsid w:val="008C7E82"/>
    <w:rsid w:val="008D2869"/>
    <w:rsid w:val="008D732F"/>
    <w:rsid w:val="008E0466"/>
    <w:rsid w:val="008E4521"/>
    <w:rsid w:val="008F03BB"/>
    <w:rsid w:val="008F64B1"/>
    <w:rsid w:val="00904381"/>
    <w:rsid w:val="009067C9"/>
    <w:rsid w:val="00907A22"/>
    <w:rsid w:val="00915207"/>
    <w:rsid w:val="00926CDC"/>
    <w:rsid w:val="00931305"/>
    <w:rsid w:val="009349DC"/>
    <w:rsid w:val="00934A24"/>
    <w:rsid w:val="00937EA2"/>
    <w:rsid w:val="00940F7F"/>
    <w:rsid w:val="00950084"/>
    <w:rsid w:val="00962632"/>
    <w:rsid w:val="00962A33"/>
    <w:rsid w:val="009664B5"/>
    <w:rsid w:val="00975A48"/>
    <w:rsid w:val="00982766"/>
    <w:rsid w:val="00994DF9"/>
    <w:rsid w:val="009A23B2"/>
    <w:rsid w:val="009A7F04"/>
    <w:rsid w:val="009B75D5"/>
    <w:rsid w:val="009C079D"/>
    <w:rsid w:val="009C32DF"/>
    <w:rsid w:val="009C36DA"/>
    <w:rsid w:val="009D1E7E"/>
    <w:rsid w:val="009D3ACF"/>
    <w:rsid w:val="009F70E6"/>
    <w:rsid w:val="00A07B3E"/>
    <w:rsid w:val="00A07D45"/>
    <w:rsid w:val="00A14BE0"/>
    <w:rsid w:val="00A17F6A"/>
    <w:rsid w:val="00A32A00"/>
    <w:rsid w:val="00A3480C"/>
    <w:rsid w:val="00A402F1"/>
    <w:rsid w:val="00A5120B"/>
    <w:rsid w:val="00A5484A"/>
    <w:rsid w:val="00A64C32"/>
    <w:rsid w:val="00A813A3"/>
    <w:rsid w:val="00A82BC2"/>
    <w:rsid w:val="00A95842"/>
    <w:rsid w:val="00A9758F"/>
    <w:rsid w:val="00AC2837"/>
    <w:rsid w:val="00AC595D"/>
    <w:rsid w:val="00AE72BC"/>
    <w:rsid w:val="00AE7E9E"/>
    <w:rsid w:val="00B0348E"/>
    <w:rsid w:val="00B119BE"/>
    <w:rsid w:val="00B23251"/>
    <w:rsid w:val="00B23DF9"/>
    <w:rsid w:val="00B33CC4"/>
    <w:rsid w:val="00B4370E"/>
    <w:rsid w:val="00B437FD"/>
    <w:rsid w:val="00B446AA"/>
    <w:rsid w:val="00B45AD1"/>
    <w:rsid w:val="00B467CB"/>
    <w:rsid w:val="00B5147C"/>
    <w:rsid w:val="00B708A6"/>
    <w:rsid w:val="00B71204"/>
    <w:rsid w:val="00B878DD"/>
    <w:rsid w:val="00B90A7C"/>
    <w:rsid w:val="00B95488"/>
    <w:rsid w:val="00B9637A"/>
    <w:rsid w:val="00B96FF3"/>
    <w:rsid w:val="00B97E6A"/>
    <w:rsid w:val="00BA09E3"/>
    <w:rsid w:val="00BA5E10"/>
    <w:rsid w:val="00BB2B5F"/>
    <w:rsid w:val="00BC46CA"/>
    <w:rsid w:val="00BD22D2"/>
    <w:rsid w:val="00BD65C8"/>
    <w:rsid w:val="00BE418A"/>
    <w:rsid w:val="00BE63D9"/>
    <w:rsid w:val="00BF692E"/>
    <w:rsid w:val="00C02EDC"/>
    <w:rsid w:val="00C04D0D"/>
    <w:rsid w:val="00C067AA"/>
    <w:rsid w:val="00C1575B"/>
    <w:rsid w:val="00C16344"/>
    <w:rsid w:val="00C200AE"/>
    <w:rsid w:val="00C20D84"/>
    <w:rsid w:val="00C25374"/>
    <w:rsid w:val="00C25780"/>
    <w:rsid w:val="00C27A85"/>
    <w:rsid w:val="00C33625"/>
    <w:rsid w:val="00C35B4B"/>
    <w:rsid w:val="00C4009A"/>
    <w:rsid w:val="00C40C54"/>
    <w:rsid w:val="00C41AF0"/>
    <w:rsid w:val="00C43167"/>
    <w:rsid w:val="00C53723"/>
    <w:rsid w:val="00C627FC"/>
    <w:rsid w:val="00C70BC2"/>
    <w:rsid w:val="00C7545E"/>
    <w:rsid w:val="00C8434F"/>
    <w:rsid w:val="00C91BBE"/>
    <w:rsid w:val="00CB3149"/>
    <w:rsid w:val="00CB5B85"/>
    <w:rsid w:val="00CB741D"/>
    <w:rsid w:val="00CC4294"/>
    <w:rsid w:val="00CC7616"/>
    <w:rsid w:val="00CD2B43"/>
    <w:rsid w:val="00CD5EBE"/>
    <w:rsid w:val="00CE1418"/>
    <w:rsid w:val="00CE4400"/>
    <w:rsid w:val="00CF3E5E"/>
    <w:rsid w:val="00CF5DAD"/>
    <w:rsid w:val="00D011A4"/>
    <w:rsid w:val="00D14DF0"/>
    <w:rsid w:val="00D154A3"/>
    <w:rsid w:val="00D17BC0"/>
    <w:rsid w:val="00D21F27"/>
    <w:rsid w:val="00D236DF"/>
    <w:rsid w:val="00D267A9"/>
    <w:rsid w:val="00D32494"/>
    <w:rsid w:val="00D33387"/>
    <w:rsid w:val="00D33501"/>
    <w:rsid w:val="00D34E13"/>
    <w:rsid w:val="00D3625F"/>
    <w:rsid w:val="00D36E03"/>
    <w:rsid w:val="00D42882"/>
    <w:rsid w:val="00D500AF"/>
    <w:rsid w:val="00D515B5"/>
    <w:rsid w:val="00D54B28"/>
    <w:rsid w:val="00D57087"/>
    <w:rsid w:val="00D65C05"/>
    <w:rsid w:val="00D77B5F"/>
    <w:rsid w:val="00D870BC"/>
    <w:rsid w:val="00D90E42"/>
    <w:rsid w:val="00DA3B2A"/>
    <w:rsid w:val="00DA5A58"/>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0C6"/>
    <w:rsid w:val="00E468FC"/>
    <w:rsid w:val="00E55430"/>
    <w:rsid w:val="00E5735B"/>
    <w:rsid w:val="00E601FB"/>
    <w:rsid w:val="00E91DB4"/>
    <w:rsid w:val="00E948C1"/>
    <w:rsid w:val="00EA3E90"/>
    <w:rsid w:val="00EB11F8"/>
    <w:rsid w:val="00EC1E80"/>
    <w:rsid w:val="00EC36E6"/>
    <w:rsid w:val="00ED3685"/>
    <w:rsid w:val="00ED59CA"/>
    <w:rsid w:val="00EF199A"/>
    <w:rsid w:val="00EF28FE"/>
    <w:rsid w:val="00EF7E03"/>
    <w:rsid w:val="00F01E11"/>
    <w:rsid w:val="00F07995"/>
    <w:rsid w:val="00F11A55"/>
    <w:rsid w:val="00F14027"/>
    <w:rsid w:val="00F15E1D"/>
    <w:rsid w:val="00F2618B"/>
    <w:rsid w:val="00F51E7B"/>
    <w:rsid w:val="00F57A20"/>
    <w:rsid w:val="00F7266F"/>
    <w:rsid w:val="00F75040"/>
    <w:rsid w:val="00F83944"/>
    <w:rsid w:val="00F86055"/>
    <w:rsid w:val="00F963E8"/>
    <w:rsid w:val="00F9793E"/>
    <w:rsid w:val="00FA3207"/>
    <w:rsid w:val="00FA6861"/>
    <w:rsid w:val="00FB0AB1"/>
    <w:rsid w:val="00FB43C4"/>
    <w:rsid w:val="00FB6315"/>
    <w:rsid w:val="00FC7D96"/>
    <w:rsid w:val="00FE2934"/>
    <w:rsid w:val="00FF0641"/>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9879">
      <w:bodyDiv w:val="1"/>
      <w:marLeft w:val="0"/>
      <w:marRight w:val="0"/>
      <w:marTop w:val="0"/>
      <w:marBottom w:val="0"/>
      <w:divBdr>
        <w:top w:val="none" w:sz="0" w:space="0" w:color="auto"/>
        <w:left w:val="none" w:sz="0" w:space="0" w:color="auto"/>
        <w:bottom w:val="none" w:sz="0" w:space="0" w:color="auto"/>
        <w:right w:val="none" w:sz="0" w:space="0" w:color="auto"/>
      </w:divBdr>
    </w:div>
    <w:div w:id="399401316">
      <w:bodyDiv w:val="1"/>
      <w:marLeft w:val="0"/>
      <w:marRight w:val="0"/>
      <w:marTop w:val="0"/>
      <w:marBottom w:val="0"/>
      <w:divBdr>
        <w:top w:val="none" w:sz="0" w:space="0" w:color="auto"/>
        <w:left w:val="none" w:sz="0" w:space="0" w:color="auto"/>
        <w:bottom w:val="none" w:sz="0" w:space="0" w:color="auto"/>
        <w:right w:val="none" w:sz="0" w:space="0" w:color="auto"/>
      </w:divBdr>
    </w:div>
    <w:div w:id="1221751429">
      <w:bodyDiv w:val="1"/>
      <w:marLeft w:val="0"/>
      <w:marRight w:val="0"/>
      <w:marTop w:val="0"/>
      <w:marBottom w:val="0"/>
      <w:divBdr>
        <w:top w:val="none" w:sz="0" w:space="0" w:color="auto"/>
        <w:left w:val="none" w:sz="0" w:space="0" w:color="auto"/>
        <w:bottom w:val="none" w:sz="0" w:space="0" w:color="auto"/>
        <w:right w:val="none" w:sz="0" w:space="0" w:color="auto"/>
      </w:divBdr>
    </w:div>
    <w:div w:id="19315025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prime65@gmail.co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id.org/0000-0002-5787-3860" TargetMode="External"/><Relationship Id="rId12" Type="http://schemas.openxmlformats.org/officeDocument/2006/relationships/hyperlink" Target="mailto:litonvoumik@gmail.com" TargetMode="External"/><Relationship Id="rId17" Type="http://schemas.openxmlformats.org/officeDocument/2006/relationships/hyperlink" Target="https://github.com/Anurag-Dutta/SVB/blob/main/open.csv"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Anurag-Dutta/SVB/blob/main/close.csv"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uragdutta.research@gmail.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litonvoumik@gmail.com" TargetMode="External"/><Relationship Id="rId23" Type="http://schemas.openxmlformats.org/officeDocument/2006/relationships/hyperlink" Target="https://github.com/Anurag-Dutta/SVB/blob/main/high.csv" TargetMode="External"/><Relationship Id="rId28" Type="http://schemas.openxmlformats.org/officeDocument/2006/relationships/footer" Target="footer1.xml"/><Relationship Id="rId10" Type="http://schemas.openxmlformats.org/officeDocument/2006/relationships/hyperlink" Target="https://orcid.org/0000-0002-1426-204X"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763</TotalTime>
  <Pages>15</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108</cp:revision>
  <cp:lastPrinted>2023-02-12T13:01:00Z</cp:lastPrinted>
  <dcterms:created xsi:type="dcterms:W3CDTF">2023-02-11T15:16:00Z</dcterms:created>
  <dcterms:modified xsi:type="dcterms:W3CDTF">2023-04-01T07:34:00Z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