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ai-was-used-executive-summary"/>
    <w:p>
      <w:pPr>
        <w:pStyle w:val="Heading1"/>
      </w:pPr>
      <w:r>
        <w:t xml:space="preserve">How AI Was Used: Executive Summary</w:t>
      </w:r>
    </w:p>
    <w:p>
      <w:pPr>
        <w:pStyle w:val="FirstParagraph"/>
      </w:pPr>
      <w:r>
        <w:t xml:space="preserve">I used Claude as my analyst, not as the author of the plan. It built the Excel model with live formulas and generated the deck from the model, so every slide figure traces to a cell. It also researched the benchmarks behind each input: IAB, BA, KOFA, Eurostat, TalentBait, StepStone and Pracuj.pl.</w:t>
      </w:r>
    </w:p>
    <w:p>
      <w:pPr>
        <w:pStyle w:val="BodyText"/>
      </w:pPr>
      <w:r>
        <w:t xml:space="preserve">My role was the standard and the judgement calls. I required every number to carry a source or a stated reason, challenged the plan as a CEO would, and cut the deck and model back to what the brief asks.</w:t>
      </w:r>
    </w:p>
    <w:p>
      <w:pPr>
        <w:pStyle w:val="BodyText"/>
      </w:pPr>
      <w:r>
        <w:t xml:space="preserve">To check the work, independent AI reviews reopened every source and recomputed the key figures. Where a source didn’t support a number, I corrected it, which moved the budget from €117.5k to €122.5k. Automated tests ran 152 scenarios and changed each input one at a time, with zero errors.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2026-10-09T16:39:01Z</dcterms:created>
  <dcterms:modified xsi:type="dcterms:W3CDTF">2026-10-09T16:39:01Z</dcterms:modified>
</cp:coreProperties>
</file>

<file path=docProps/custom.xml><?xml version="1.0" encoding="utf-8"?>
<Properties xmlns="http://schemas.openxmlformats.org/officeDocument/2006/custom-properties" xmlns:vt="http://schemas.openxmlformats.org/officeDocument/2006/docPropsVTypes"/>
</file>