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EEETitle"/>
      </w:pPr>
      <w:r>
        <w:t>Critical Review: Enhancing Kubernetes Resilience through Anomaly Detection and Prediction</w:t>
      </w:r>
    </w:p>
    <w:p>
      <w:pPr>
        <w:pStyle w:val="IEEEAuthor"/>
      </w:pPr>
      <w:r>
        <w:t>Prepared for: Heuristic-Based Approach to Detect Zombie Containers in Kubernetes for Resource Optimization</w:t>
      </w:r>
    </w:p>
    <w:p>
      <w:pPr>
        <w:pStyle w:val="IEEEAuthor"/>
      </w:pPr>
      <w:r>
        <w:t>Anurag Baiju — 23409223 — MSc in Cloud Computing — National College of Ireland</w:t>
      </w:r>
    </w:p>
    <w:p>
      <w:pPr>
        <w:pStyle w:val="IEEEHeading"/>
      </w:pPr>
      <w:r>
        <w:t>I. PAPER UNDER REVIEW</w:t>
      </w:r>
    </w:p>
    <w:p>
      <w:pPr>
        <w:ind w:firstLine="0"/>
      </w:pPr>
      <w:r>
        <w:t>V. Anemogiannis, C. Andreou, K. Myrtollari, K. Panagidi, and S. Hadjiefthymiades, "Enhancing Kubernetes Resilience through Anomaly Detection and Prediction," arXiv preprint arXiv:2503.14114, March 2025. National and Kapodistrian University of Athens, Greece. EU Horizon Europe EO4EU project. Available: https://arxiv.org/abs/2503.14114</w:t>
      </w:r>
    </w:p>
    <w:p>
      <w:pPr>
        <w:pStyle w:val="IEEEHeading"/>
      </w:pPr>
      <w:r>
        <w:t>II. SUMMARY OF THE PAPER</w:t>
      </w:r>
    </w:p>
    <w:p>
      <w:pPr>
        <w:ind w:firstLine="0"/>
      </w:pPr>
      <w:r>
        <w:t>Anemogiannis et al. (2025) present a framework for enhancing the resilience of Kubernetes clusters through anomaly detection and prediction, developed as part of the European Union Horizon Europe EO4EU Earth-observation project at the National and Kapodistrian University of Athens. The framework encodes the full Kubernetes resource hierarchy — Nodes, Deployments, ReplicaSets, Namespaces, and Pods — as a heterogeneous directed graph stored in a Neo4j graph database, where edges capture ownership and co-location relationships and node attributes are populated from Prometheus telemetry. Prometheus, configured with a fifteen-second scrape interval, collects CPU saturation, memory utilisation, and service request-rate metrics from every instrumented container in the cluster; Thanos extends Prometheus with long-term storage and high availability, and Grafana provides supplementary visualisation. The detection pipeline operates in two sequential phases. In the unsupervised phase, three algorithms — Isolation Forest, Density-Based Spatial Clustering of Applications with Noise (DBSCAN), and One-Class Support Vector Machine (OCSVM) — are evaluated to establish a dynamic boundary of normality against which future observations can be compared. In the supervised phase, three classifiers — Decision Trees, Support Vector Machines, and Logistic Regression — are trained on the labelled output of the unsupervised phase to predict whether incoming metric samples represent anomalous cluster behaviour. Hyperparameter optimisation is performed using Optuna, and the entire pipeline is evaluated over N equal to one hundred experimental iterations on the production EO4EU cluster, with two controlled stress-test scenarios: CPU stress induced by thirty-two concurrent workers executing square-root computations, and memory stress induced by thirty-two concurrent workers executing malloc allocations. The best unsupervised result is a silhouette score of 0.794 achieved by Isolation Forest, while the best supervised result is an F1 score of 0.886 achieved by Decision Trees, with Support Vector Machines reaching 0.878 and Logistic Regression reaching 0.870.</w:t>
      </w:r>
    </w:p>
    <w:p>
      <w:pPr>
        <w:pStyle w:val="IEEEHeading"/>
      </w:pPr>
      <w:r>
        <w:t>III. RELEVANCE TO THE PRESENT RESEARCH</w:t>
      </w:r>
    </w:p>
    <w:p>
      <w:pPr>
        <w:ind w:firstLine="0"/>
      </w:pPr>
      <w:r>
        <w:t>The relevance of this work to the present thesis is substantial and operates on three levels. First, the monitoring infrastructure that Anemogiannis et al. employ — Prometheus collecting CPU and memory metrics at fifteen-second intervals from a Kubernetes cluster — is architecturally identical to the monitoring stack adopted in this thesis, where Prometheus scrapes container_cpu_usage_seconds_total, container_memory_usage_bytes, container_network_receive_bytes_total, and container_network_transmit_bytes_total at the same fifteen-second resolution within a Minikube cluster. This congruence is methodologically significant because it permits a controlled comparison between the machine-learning anomaly scores reported by Anemogiannis et al. and the heuristic composite scores produced by the five-rule detector developed in this thesis, without introducing confounds arising from differences in metric granularity or collection infrastructure. Second, the Isolation Forest results reported in that paper — silhouette score of 0.794 — provide a concrete, published, quantitative baseline against which the heuristic approach can be benchmarked. This is particularly important because the evaluation plan for this thesis includes a comparative analysis against machine-learning techniques, with Isolation Forest identified as the primary comparator following the precedent established by Cui et al. (2024) for Docker container anomaly detection. Having an independent, recent set of Isolation Forest results obtained on a Kubernetes cluster using the same monitoring stack strengthens the validity of any performance comparison. Third, the operational overhead disclosed in the Anemogiannis et al. framework — the requirement for a Neo4j graph database to store cluster topology, periodic graph-update cycles to refresh node attributes, Optuna-based hyperparameter sweeps, and model-retraining procedures to accommodate concept drift — provides a concrete point of contrast with the heuristic detector developed here, which requires no external database, no training data, no hyperparameter optimisation, and no retraining cycle, operating instead through deterministic rule evaluation over live Prometheus queries.</w:t>
      </w:r>
    </w:p>
    <w:p>
      <w:pPr>
        <w:pStyle w:val="IEEEHeading"/>
      </w:pPr>
      <w:r>
        <w:t>IV. IDENTIFIED GAPS AND CRITICAL ANALYSIS</w:t>
      </w:r>
    </w:p>
    <w:p>
      <w:pPr>
        <w:ind w:firstLine="0"/>
      </w:pPr>
      <w:r>
        <w:t>Despite these strengths, a critical examination of Anemogiannis et al. (2025) reveals five specific gaps that limit its applicability to the zombie container detection problem and that the present thesis is designed to address. The first and most fundamental gap is that the framework is engineered to detect active performance degradation — that is, anomalous upward deviations in CPU or memory consumption relative to learned baselines — and not the inverse pattern that characterises zombie containers. A zombie container, as defined in this thesis, exhibits sustained near-zero CPU utilisation (below five percent for thirty or more minutes), stable or slowly increasing memory allocation, and negligible network activity; this behavioural profile sits comfortably within the statistical norm of a heterogeneous cluster and would therefore be classified as healthy, not anomalous, by any of the six machine-learning models evaluated by Anemogiannis et al. The Isolation Forest algorithm, which scores each observation by the number of random splits required to isolate it, assigns high anomaly scores to points that are easily separated from the majority; a container with near-zero CPU and low memory churn is, by definition, close to the centre of the normal distribution and would receive a low anomaly score. The heuristic detector developed in this thesis addresses this inversion directly: Rule 1 (sustained low CPU with memory allocation, weighted at thirty-five percent) triggers precisely when CPU remains below five percent for more than thirty minutes while memory remains stable or increases, a combination that machine-learning normality models would consider unremarkable.</w:t>
      </w:r>
    </w:p>
    <w:p>
      <w:r>
        <w:t>The second gap is the absence of any discussion of zombie containers, idle containers, orphan resources, or resource waste in the paper. A full-text examination of the twenty-seven-page manuscript confirms that the terms "zombie," "idle," "orphan," "stale," and "resource waste" do not appear. The problem formulation centres on cluster resilience and the propagation of anomalies across the Kubernetes resource graph, not on the identification of containers that consume resources without performing productive work. This omission is not a criticism of the paper’s quality — it simply addresses a different problem — but it establishes that zombie container detection remains an unoccupied research niche even after the publication of this recent and methodologically rigorous work.</w:t>
      </w:r>
    </w:p>
    <w:p>
      <w:r>
        <w:t>The third gap concerns interpretability and operational governance. The Decision Tree classifier that achieves F1 of 0.886 is, at sufficient depth, not readily interpretable by a site-reliability engineer who needs to understand why a particular container was flagged and whether the flag warrants remedial action. In production Kubernetes environments, where false positives can trigger unnecessary pod evictions and service disruptions, the ability to trace a detection decision back to a specific, human-readable rule — for example, "CPU below five percent for forty-two minutes with memory stable at one hundred and twenty megabytes and no network traffic" — is a governance requirement that opaque machine-learning models cannot satisfy without additional explainability tooling. Each of the five heuristic rules implemented in this thesis produces a per-rule score between zero and one together with a structured details dictionary that records the exact metric values and durations that contributed to the score, enabling engineers to audit every detection decision at the level of individual threshold comparisons.</w:t>
      </w:r>
    </w:p>
    <w:p>
      <w:r>
        <w:t>The fourth gap is the infrastructure overhead introduced by the graph-based approach. Maintaining a Neo4j database, running periodic graph-update jobs, and executing Optuna hyperparameter searches represent ongoing operational costs in terms of compute, storage, and engineering attention. For small-to-medium clusters — and in particular for the Minikube-based development and staging environments that are the experimental setting of this thesis — such overhead may exceed the overhead of the very problem being detected. The heuristic detector, by contrast, runs as a single Python process within a Kubernetes Deployment, requesting one hundred millicores of CPU and two hundred and fifty-six megabytes of memory, and its only external dependency is a reachable Prometheus endpoint.</w:t>
      </w:r>
    </w:p>
    <w:p>
      <w:r>
        <w:t>The fifth gap is the absence of a comparative evaluation against simpler detection methods. Anemogiannis et al. compare six machine-learning algorithms against one another — Isolation Forest versus DBSCAN versus OCSVM versus Decision Trees versus SVM versus Logistic Regression — but never benchmark any of them against a static-threshold alert (for example, CPU below five percent for more than thirty minutes) or a rule-based heuristic system. This omission leaves an important empirical question unanswered: for the specific sub-problem of identifying containers that have ceased useful work, is the full weight of a machine-learning pipeline necessary, or can a well-designed set of heuristic rules achieve comparable or superior performance at a fraction of the cost? The evaluation plan for this thesis is designed to answer this question by comparing the heuristic detector against both a simple static-threshold baseline and the Isolation Forest results reported by Anemogiannis et al., measuring accuracy, precision, recall, F1 score, false positive rate, detection latency, and computational overhead across controlled test scenarios that include normal containers, legitimately idle containers (batch jobs waiting for input, cron jobs between scheduled runs), and five distinct zombie container archetypes (sustained low CPU, memory leak, stuck process, network timeout, and resource ratio imbalance).</w:t>
      </w:r>
    </w:p>
    <w:p>
      <w:pPr>
        <w:pStyle w:val="IEEEHeading"/>
      </w:pPr>
      <w:r>
        <w:t>V. HOW THE PRESENT RESEARCH FILLS THE GAPS</w:t>
      </w:r>
    </w:p>
    <w:p>
      <w:pPr>
        <w:ind w:firstLine="0"/>
      </w:pPr>
      <w:r>
        <w:t>In summary, Anemogiannis et al. (2025) contribute a rigorous, well-evaluated framework for machine-learning-based anomaly detection in Kubernetes using the same Prometheus-based monitoring infrastructure adopted in this thesis. Their Isolation Forest and Decision Tree results provide valuable quantitative benchmarks. However, their framework targets active performance anomalies rather than zombie containers, operates as an opaque machine-learning system with significant infrastructure overhead, and does not compare against simpler detection methods. The heuristic-based approach developed in this thesis is positioned to fill these gaps by providing a lightweight, transparent, purpose-built zombie detection mechanism that can be deployed alongside existing monitoring infrastructure, evaluated against established machine-learning baselines, and governed through human-readable rules that align with the operational realities of Kubernetes cluster management. The five heuristic rules — sustained low CPU with memory allocation (thirty-five percent weight), memory leak pattern (twenty-five percent), stuck process pattern (fifteen percent), network timeout pattern (fifteen percent), and resource ratio imbalance (ten percent) — produce a composite zombie score on a zero-to-one-hundred scale, with classification thresholds of seventy for confirmed zombie and forty for potential zombie. This scoring system is fully configurable, enabling operations teams to tune the precision–recall trade-off for their specific cluster environment without retraining a model or modifying algorithmic internals.</w:t>
      </w:r>
    </w:p>
    <w:p>
      <w:pPr>
        <w:pStyle w:val="IEEEHeading"/>
      </w:pPr>
      <w:r>
        <w:t>REFERENCES</w:t>
      </w:r>
    </w:p>
    <w:p>
      <w:pPr>
        <w:pStyle w:val="IEEEReference"/>
      </w:pPr>
      <w:r>
        <w:t>[1] V. Anemogiannis, C. Andreou, K. Myrtollari, K. Panagidi, and S. Hadjiefthymiades, "Enhancing Kubernetes Resilience through Anomaly Detection and Prediction," arXiv preprint arXiv:2503.14114, Mar. 2025.</w:t>
      </w:r>
    </w:p>
    <w:p>
      <w:pPr>
        <w:pStyle w:val="IEEEReference"/>
      </w:pPr>
      <w:r>
        <w:t>[2] G. Cui et al., "A Docker Container Anomaly Monitoring System Based on Optimized Isolation Forest," IEEE Access, 2024.</w:t>
      </w:r>
    </w:p>
    <w:p>
      <w:pPr>
        <w:pStyle w:val="IEEEReference"/>
      </w:pPr>
      <w:r>
        <w:t>[3] H. Li, W. Rao, B. Hu, Y. Tian, and J. Shen, "Energy-aware elastic scaling algorithm for microservices in Kubernetes clouds," J. Netw. Comput. Appl., Jun. 2025.</w:t>
      </w:r>
    </w:p>
    <w:sectPr w:rsidR="00FC693F" w:rsidRPr="0006063C" w:rsidSect="00034616">
      <w:pgSz w:w="12240" w:h="15840"/>
      <w:pgMar w:top="1440" w:right="1083" w:bottom="1440" w:left="10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ind w:firstLine="425"/>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Title">
    <w:name w:val="IEEE Title"/>
    <w:pPr>
      <w:spacing w:before="0" w:after="240"/>
      <w:ind w:firstLine="0"/>
      <w:jc w:val="center"/>
    </w:pPr>
    <w:rPr>
      <w:rFonts w:ascii="Times New Roman" w:hAnsi="Times New Roman"/>
      <w:b/>
      <w:color w:val="000000"/>
      <w:sz w:val="48"/>
    </w:rPr>
  </w:style>
  <w:style w:type="paragraph" w:customStyle="1" w:styleId="IEEEAuthor">
    <w:name w:val="IEEE Author"/>
    <w:pPr>
      <w:spacing w:before="0" w:after="80"/>
      <w:ind w:firstLine="0"/>
      <w:jc w:val="center"/>
    </w:pPr>
    <w:rPr>
      <w:rFonts w:ascii="Times New Roman" w:hAnsi="Times New Roman"/>
      <w:color w:val="000000"/>
      <w:sz w:val="22"/>
    </w:rPr>
  </w:style>
  <w:style w:type="paragraph" w:customStyle="1" w:styleId="IEEEHeading">
    <w:name w:val="IEEE Heading"/>
    <w:pPr>
      <w:spacing w:before="240" w:after="120"/>
      <w:ind w:firstLine="0"/>
      <w:jc w:val="left"/>
    </w:pPr>
    <w:rPr>
      <w:rFonts w:ascii="Times New Roman" w:hAnsi="Times New Roman"/>
      <w:b/>
      <w:color w:val="000000"/>
      <w:sz w:val="20"/>
    </w:rPr>
  </w:style>
  <w:style w:type="paragraph" w:customStyle="1" w:styleId="IEEEReference">
    <w:name w:val="IEEE Reference"/>
    <w:pPr>
      <w:spacing w:before="0" w:after="60"/>
      <w:ind w:firstLine="0" w:left="283"/>
    </w:pPr>
    <w:rPr>
      <w:rFonts w:ascii="Times New Roman" w:hAnsi="Times New Roman"/>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