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Critical Review: Energy-Aware Elastic Scaling Algorithm for Microservices in Kubernetes Clouds</w:t>
      </w:r>
    </w:p>
    <w:p>
      <w:pPr>
        <w:pStyle w:val="IEEEAuthor"/>
      </w:pPr>
      <w:r>
        <w:t>Prepared for: Heuristic-Based Approach to Detect Zombie Containers in Kubernetes for Resource Optimization</w:t>
      </w:r>
    </w:p>
    <w:p>
      <w:pPr>
        <w:pStyle w:val="IEEEAuthor"/>
      </w:pPr>
      <w:r>
        <w:t>Anurag Baiju — 23409223 — MSc in Cloud Computing — National College of Ireland</w:t>
      </w:r>
    </w:p>
    <w:p>
      <w:pPr>
        <w:pStyle w:val="IEEEHeading"/>
      </w:pPr>
      <w:r>
        <w:t>I. PAPER UNDER REVIEW</w:t>
      </w:r>
    </w:p>
    <w:p>
      <w:pPr>
        <w:ind w:firstLine="0"/>
      </w:pPr>
      <w:r>
        <w:t>H. Li, W. Rao, B. Hu, Y. Tian, and J. Shen, "Energy-aware elastic scaling algorithm for microservices in Kubernetes clouds," Journal of Network and Computer Applications (Elsevier), June 2025. Chongqing University of Posts and Telecommunications, China. Peer-reviewed, impact factor approximately 7.5. Available: https://www.sciencedirect.com/science/article/abs/pii/S1084804525001158 and https://www.researchgate.net/publication/392348403</w:t>
      </w:r>
    </w:p>
    <w:p>
      <w:pPr>
        <w:pStyle w:val="IEEEHeading"/>
      </w:pPr>
      <w:r>
        <w:t>II. SUMMARY OF THE PAPER</w:t>
      </w:r>
    </w:p>
    <w:p>
      <w:pPr>
        <w:ind w:firstLine="0"/>
      </w:pPr>
      <w:r>
        <w:t>Li et al. (2025) address the problem of energy-inefficient elastic scaling in Kubernetes-based microservice deployments, published in the Journal of Network and Computer Applications (Elsevier), a peer-reviewed venue with an impact factor of approximately 7.5. The central observation motivating their work is stated explicitly and bears direct relevance to this thesis: "the default scaling mechanisms in Kubernetes fail to effectively distinguish and manage resource consumption of idle containers, leading to resource waste and degraded system performance." The authors further note that "Kubernetes’ default metrics fail to distinguish between active and idle containers" and that, as a consequence, "idle containers continue to consume resources, which significantly impacts cold start latency and overall system performance." These three statements validate the core premise of the present research — that containers which consume resources without performing useful work represent a tangible and under-addressed source of waste in Kubernetes environments — and establish that even recent, peer-reviewed research recognises the detection of idle and zombie containers as an open problem.</w:t>
      </w:r>
    </w:p>
    <w:p>
      <w:r>
        <w:t>To address this problem, Li et al. propose an Energy-Aware Elastic Scaling Algorithm (EAES) that extends the Kubernetes Horizontal Pod Autoscaler with an energy-efficiency model grounded in Service Level Agreement constraints. The algorithm integrates two control mechanisms. A feedforward controller anticipates workload demand by modelling expected access arrival rates and container processing capacities, enabling pre-emptive scaling before demand spikes cause latency violations. A feedback controller monitors observed utilisation and adjusts the number of active container replicas, explicitly accounting for the energy cost of idle containers by incorporating CPU power draw during container runtime, Power Usage Effectiveness (PUE), response-time targets, and container processing rates into a unified optimisation function. The feedback loop periodically releases excess containers whose utilisation falls below the threshold implied by the SLA-energy trade-off, thereby reducing the proportion of cluster resources consumed by idle instances. Experimental evaluation demonstrates a reduction of approximately 15.34 percent in total energy consumption relative to the default Kubernetes Horizontal Pod Autoscaler, while maintaining SLA compliance across the tested workload scenarios.</w:t>
      </w:r>
    </w:p>
    <w:p>
      <w:pPr>
        <w:pStyle w:val="IEEEHeading"/>
      </w:pPr>
      <w:r>
        <w:t>III. RELEVANCE TO THE PRESENT RESEARCH</w:t>
      </w:r>
    </w:p>
    <w:p>
      <w:pPr>
        <w:ind w:firstLine="0"/>
      </w:pPr>
      <w:r>
        <w:t>Three aspects of this work are directly relevant to the present thesis and merit careful analysis. First, the explicit identification of idle containers as a distinct category of Kubernetes resource waste validates the problem definition that underpins this research at the level of peer-reviewed, journal-published evidence. The literature review of this thesis establishes that zombie containers — containers that are running but performing no useful work — represent a significant and under-detected source of operational cost and carbon footprint in cloud deployments; Li et al. provide independent, peer-reviewed corroboration of this claim by demonstrating that idle containers cause measurable energy waste and performance degradation in production-grade Kubernetes clusters. Second, the authors’ observation that Kubernetes’ built-in metrics cannot differentiate active from idle containers directly motivates the design of a dedicated detection mechanism. The default Kubernetes metrics server reports aggregate CPU and memory utilisation per pod but does not expose the temporal patterns, network activity correlations, or resource-allocation ratios that are necessary to distinguish a container that is temporarily idle (a batch job waiting for its next input file, a cron job sleeping between scheduled executions, a cold-standby service maintaining readiness for failover) from a container that has permanently ceased useful work (a process stuck in an infinite retry loop against a decommissioned endpoint, a service whose upstream dependency was removed without cascading deletion, a deployment that was scaled up for a load test and never scaled back down). The heuristic rules implemented in this thesis are designed precisely to make this distinction by analysing sustained temporal patterns across multiple metrics rather than relying on instantaneous utilisation snapshots. Third, the energy-consumption model proposed by Li et al. offers a complementary quantification framework: once a zombie container is identified and terminated by the heuristic detector, the energy savings attributable to its removal can, in principle, be estimated using the EAES energy model, linking the detection contribution of this thesis to the energy-efficiency contribution of Li et al. in a chain of complementary capabilities.</w:t>
      </w:r>
    </w:p>
    <w:p>
      <w:pPr>
        <w:pStyle w:val="IEEEHeading"/>
      </w:pPr>
      <w:r>
        <w:t>IV. IDENTIFIED GAPS AND CRITICAL ANALYSIS</w:t>
      </w:r>
    </w:p>
    <w:p>
      <w:pPr>
        <w:ind w:firstLine="0"/>
      </w:pPr>
      <w:r>
        <w:t>Despite these points of alignment, a critical examination of Li et al. (2025) reveals four specific gaps that the present thesis is designed to address. The first and most significant gap is that EAES is fundamentally a scaling algorithm, not a detection or classification mechanism. It adjusts the number of container replicas in response to the balance between workload demand and energy cost, but it does not produce a per-container verdict of "zombie," "legitimately idle," or "active." This distinction is non-trivial and has practical consequences. Consider a Kubernetes namespace containing three deployments: a web server handling live traffic, a batch processor that runs every six hours and sleeps between runs, and an orphaned monitoring sidecar whose parent service was deleted three weeks ago. All three exhibit low CPU utilisation between processing windows, but only the third is a zombie. The EAES scaling algorithm would treat all three identically — as candidates for replica reduction when utilisation falls below the energy-cost threshold — potentially disrupting the batch processor’s next scheduled run or the web server’s cold-standby capacity. The heuristic detector developed in this thesis addresses this problem through five orthogonal rules that examine not just instantaneous utilisation but sustained behavioural patterns. Rule 1 (sustained low CPU with memory allocation, weighted at thirty-five percent of the composite score) checks whether CPU has remained below five percent for at least thirty minutes while memory remains stable or increases and network activity is negligible; a batch processor that exhibits periodic CPU spikes every six hours would not trigger this rule because its CPU history contains recent spikes, whereas the orphaned sidecar with flat-line CPU and no network traffic would score highly. Rule 3 (stuck process pattern, weighted at fifteen percent) specifically detects the pattern of brief CPU spikes followed by extended idle periods repeated three or more times, which is characteristic of a process trapped in a retry loop — a zombie archetype that a scaling algorithm would not distinguish from normal periodic processing.</w:t>
      </w:r>
    </w:p>
    <w:p>
      <w:r>
        <w:t>The second gap concerns the temporal granularity and analytical depth of the metrics used. EAES operates on metrics that are processed through a control-loop abstraction — arrival rates, processing rates, and response times fed into feedforward and feedback controllers — and makes scaling decisions on the basis of short-window aggregates aligned with the control-loop cycle time. It does not perform the kind of extended temporal pattern analysis that is necessary to identify zombie containers with high confidence while minimising false positives against legitimately idle workloads. The heuristic detector developed in this thesis uses a configurable look-back window (defaulting to sixty minutes but extensible to longer observation periods) with a fifteen-second sampling interval, yielding approximately two hundred and forty data points per metric per container. This temporal depth enables Rule 2 (memory leak pattern, weighted at twenty-five percent) to detect gradual memory increases exceeding five percent over one hour while CPU remains below one percent — a signature of a zombie container that is leaking memory through an abandoned data structure or unclosed connection — and enables Rule 4 (network timeout pattern, weighted at fifteen percent) to detect periodic, low-volume network connection attempts with a coefficient of variation below 0.5 in inter-attempt intervals, characteristic of a container retrying connections to a decommissioned service at regular intervals. Neither of these patterns is detectable through the aggregate, short-window metrics that feed the EAES control loop.</w:t>
      </w:r>
    </w:p>
    <w:p>
      <w:r>
        <w:t>The third gap is the metrics source. Li et al. explicitly acknowledge that Kubernetes’ default metrics are inadequate for distinguishing active from idle containers, yet their EAES algorithm operates on metrics derived from the Kubernetes metrics pipeline rather than from a dedicated monitoring system such as Prometheus. The heuristic detector developed in this thesis queries Prometheus directly using PromQL expressions — rate(container_cpu_usage_seconds_total[5m]) for CPU usage rate, container_memory_usage_bytes for memory consumption, rate(container_network_receive_bytes_total[5m]) and rate(container_network_transmit_bytes_total[5m]) for network activity, and container_spec_memory_limit_bytes and container_spec_cpu_quota for resource allocation limits — obtaining time-series data at the full fifteen-second resolution that Prometheus provides. This richer telemetry source enables the multi-metric, temporal-pattern analysis that underpins each of the five heuristic rules, and its adoption is directly motivated by the limitation that Li et al. themselves identify in Kubernetes’ native metrics.</w:t>
      </w:r>
    </w:p>
    <w:p>
      <w:r>
        <w:t>The fourth gap is that the EAES algorithm is embedded within the scaling control loop and cannot be deployed as a standalone detection, auditing, or governance tool. In many operational contexts — particularly those governed by change-control processes, compliance requirements, or multi-team ownership structures — the ability to detect and report zombie containers without automatically terminating them is a prerequisite for adoption. An operations team may wish to review a list of suspected zombies, validate the detections against application-specific knowledge (for example, confirming that a flagged container is not a legitimate cold-standby instance), and then take deliberate remedial action through established change-management procedures. The heuristic detector developed in this thesis supports exactly this workflow: it operates as an independent Kubernetes Deployment that can run in continuous monitoring mode (checking every five minutes by default) or as a one-time audit, producing structured output in either human-readable text or machine-parseable JSON format. Each output record includes the container’s namespace, pod name, container name, and node, together with the composite zombie score on a zero-to-one-hundred scale, the per-rule breakdown showing which of the five rules triggered and with what individual score, and a details dictionary for each rule that records the exact metric values and temporal durations that contributed to the score. This level of transparency enables engineers to trace every detection decision back to specific, auditable threshold comparisons and to adjust individual rule thresholds or weights to tune the precision–recall trade-off for their specific operational context.</w:t>
      </w:r>
    </w:p>
    <w:p>
      <w:pPr>
        <w:pStyle w:val="IEEEHeading"/>
      </w:pPr>
      <w:r>
        <w:t>V. HOW THE PRESENT RESEARCH FILLS THE GAPS</w:t>
      </w:r>
    </w:p>
    <w:p>
      <w:pPr>
        <w:ind w:firstLine="0"/>
      </w:pPr>
      <w:r>
        <w:t>Taken together, the four gaps identified in Li et al. (2025) — the absence of per-container classification, the limited temporal analytical depth, the reliance on default Kubernetes metrics rather than Prometheus, and the tight coupling with the scaling control loop — define a clear and defensible space for the contribution of this thesis. Li et al. establish that idle containers are a real and measurable source of waste in Kubernetes environments, that Kubernetes itself cannot distinguish active from idle containers, and that addressing this waste yields quantifiable energy savings. The heuristic detector developed in this thesis builds on these findings by providing the missing detection and classification layer: a standalone, Prometheus-powered, rule-based mechanism that examines sustained behavioural patterns across CPU, memory, and network metrics to classify containers as zombie, potentially zombie, or normal, with full per-rule transparency and no dependency on the cluster’s scaling infrastructure. Where Li et al. answer the question "how can we scale more efficiently in the presence of idle containers," this thesis answers the prior question "which containers are zombies and should be investigated for removal" — a question that must be answered before any scaling or termination action can be taken responsibly.</w:t>
      </w:r>
    </w:p>
    <w:p>
      <w:r>
        <w:t>The choice of Li et al. (2025) as an anchoring reference is further justified by the complementary relationship between their contribution and the contribution of this thesis within the broader Kubernetes resource optimisation landscape. A complete solution to the idle container problem requires two capabilities in sequence: first, detecting which containers are truly zombie (the contribution of this thesis) and, second, acting on that detection through scaling, termination, or remediation (the domain addressed by Li et al. and by the Kubernetes Horizontal Pod Autoscaler more broadly). By positioning the heuristic detector as a pre-scaling diagnostic — a tool that identifies zombie containers before scaling decisions are made — this thesis does not compete with the EAES algorithm but rather complements it, providing the classification intelligence that scaling algorithms assume but do not themselves generate. This complementary positioning also opens a path for future work in which the heuristic detector’s output could feed directly into an energy-aware scaling framework such as EAES, creating an integrated pipeline that first identifies zombies through transparent heuristic rules and then reclaims their resources through energy-optimised scaling — a pipeline that would combine the interpretability and low overhead of heuristics with the energy-modelling sophistication of control-theoretic scaling.</w:t>
      </w:r>
    </w:p>
    <w:p>
      <w:pPr>
        <w:pStyle w:val="IEEEHeading"/>
      </w:pPr>
      <w:r>
        <w:t>VI. LIMITATIONS OF THIS REFERENCE</w:t>
      </w:r>
    </w:p>
    <w:p>
      <w:pPr>
        <w:ind w:firstLine="0"/>
      </w:pPr>
      <w:r>
        <w:t>A limitation of relying on Li et al. (2025) as an anchoring reference is that the full text of the paper is available only through institutional subscription to the Journal of Network and Computer Applications on ScienceDirect. This concern is mitigated by two factors: the National College of Ireland maintains an institutional subscription to Elsevier journals through its library, providing the author of this thesis with full-text access; and the paper is also listed on ResearchGate, where the authors may provide access upon request. The peer-reviewed status of the paper, its publication in a journal with an impact factor of approximately 7.5, and its explicit treatment of idle containers in Kubernetes environments make it a more authoritative and directly relevant reference for the zombie container detection problem than the alternative sources available in the 2024 to 2026 academic literature, none of which address idle or zombie container detection as a primary research problem.</w:t>
      </w:r>
    </w:p>
    <w:p>
      <w:pPr>
        <w:pStyle w:val="IEEEHeading"/>
      </w:pPr>
      <w:r>
        <w:t>REFERENCES</w:t>
      </w:r>
    </w:p>
    <w:p>
      <w:pPr>
        <w:pStyle w:val="IEEEReference"/>
      </w:pPr>
      <w:r>
        <w:t>[1] H. Li, W. Rao, B. Hu, Y. Tian, and J. Shen, "Energy-aware elastic scaling algorithm for microservices in Kubernetes clouds," J. Netw. Comput. Appl., Elsevier, Jun. 2025.</w:t>
      </w:r>
    </w:p>
    <w:p>
      <w:pPr>
        <w:pStyle w:val="IEEEReference"/>
      </w:pPr>
      <w:r>
        <w:t>[2] V. Anemogiannis, C. Andreou, K. Myrtollari, K. Panagidi, and S. Hadjiefthymiades, "Enhancing Kubernetes Resilience through Anomaly Detection and Prediction," arXiv preprint arXiv:2503.14114, Mar. 2025.</w:t>
      </w:r>
    </w:p>
    <w:p>
      <w:pPr>
        <w:pStyle w:val="IEEEReference"/>
      </w:pPr>
      <w:r>
        <w:t>[3] G. Cui et al., "A Docker Container Anomaly Monitoring System Based on Optimized Isolation Forest," IEEE Access, 2024.</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ind w:firstLine="425"/>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before="0" w:after="240"/>
      <w:ind w:firstLine="0"/>
      <w:jc w:val="center"/>
    </w:pPr>
    <w:rPr>
      <w:rFonts w:ascii="Times New Roman" w:hAnsi="Times New Roman"/>
      <w:b/>
      <w:color w:val="000000"/>
      <w:sz w:val="48"/>
    </w:rPr>
  </w:style>
  <w:style w:type="paragraph" w:customStyle="1" w:styleId="IEEEAuthor">
    <w:name w:val="IEEE Author"/>
    <w:pPr>
      <w:spacing w:before="0" w:after="80"/>
      <w:ind w:firstLine="0"/>
      <w:jc w:val="center"/>
    </w:pPr>
    <w:rPr>
      <w:rFonts w:ascii="Times New Roman" w:hAnsi="Times New Roman"/>
      <w:color w:val="000000"/>
      <w:sz w:val="22"/>
    </w:rPr>
  </w:style>
  <w:style w:type="paragraph" w:customStyle="1" w:styleId="IEEEHeading">
    <w:name w:val="IEEE Heading"/>
    <w:pPr>
      <w:spacing w:before="240" w:after="120"/>
      <w:ind w:firstLine="0"/>
      <w:jc w:val="left"/>
    </w:pPr>
    <w:rPr>
      <w:rFonts w:ascii="Times New Roman" w:hAnsi="Times New Roman"/>
      <w:b/>
      <w:color w:val="000000"/>
      <w:sz w:val="20"/>
    </w:rPr>
  </w:style>
  <w:style w:type="paragraph" w:customStyle="1" w:styleId="IEEEReference">
    <w:name w:val="IEEE Reference"/>
    <w:pPr>
      <w:spacing w:before="0" w:after="60"/>
      <w:ind w:firstLine="0" w:left="283"/>
    </w:pPr>
    <w:rPr>
      <w:rFonts w:ascii="Times New Roman" w:hAnsi="Times New Roman"/>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