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FinGuard SafetyOS Submission Document</w:t>
      </w:r>
    </w:p>
    <w:p>
      <w:r>
        <w:rPr>
          <w:b/>
        </w:rPr>
        <w:t>Autonomous AI-Powered Industrial Safety Intelligence Platform for Zero-Harm Operations</w:t>
      </w:r>
    </w:p>
    <w:p>
      <w:pPr>
        <w:pStyle w:val="Heading1"/>
      </w:pPr>
      <w:r>
        <w:t>1. Executive Summary &amp; Problem Context</w:t>
      </w:r>
    </w:p>
    <w:p>
      <w:r>
        <w:t>Heavy manufacturing environments (steel plants, chemical refineries, mines) are highly instrumented, yet tragedies persist. In January 2025, a gas explosion in a coke oven battery at the Visakhapatnam Steel Plant claimed eight lives. The plant possessed gas detectors, digital permits, and active SCADA alerts, but because the signals remained siloed, no intelligence layer correlated them to prevent ignition. FinGuard SafetyOS acts as the missing intelligence layer, correlating multiple weak, siloed risk indicators into explainable compound risk scores to enable proactive, zero-harm prevention.</w:t>
      </w:r>
    </w:p>
    <w:p>
      <w:r>
        <w:rPr>
          <w:i/>
        </w:rPr>
        <w:t>Predictive Warning Lead Time:</w:t>
        <w:br/>
        <w:t>During end-to-end pipeline verification on simulated Visakhapatnam precursors, the SafetyOS multi-agent pipeline successfully correlated gas drift, permit hot-work location, and worker positioning to trigger a critical compound risk alert 47 minutes prior to threshold breach, recommending evacuation 15 minutes before peak gas concentration.</w:t>
      </w:r>
    </w:p>
    <w:p>
      <w:pPr>
        <w:pStyle w:val="Heading1"/>
      </w:pPr>
      <w:r>
        <w:t>2. Sequential Multi-Agent Architecture</w:t>
      </w:r>
    </w:p>
    <w:p>
      <w:r>
        <w:t>SafetyOS breaks down safety monitoring into a structured chain of five specialized, sequential AI agents executing in &lt;200ms:</w:t>
      </w:r>
    </w:p>
    <w:p>
      <w:pPr>
        <w:pStyle w:val="ListBullet"/>
      </w:pPr>
      <w:r>
        <w:t>Sensor Fusion Agent: Aggregates 31 IoT telemetry streams (gas, temperature, pressure), calculates rate-of-change, and projects time-to-threshold.</w:t>
      </w:r>
    </w:p>
    <w:p>
      <w:pPr>
        <w:pStyle w:val="ListBullet"/>
      </w:pPr>
      <w:r>
        <w:t>Vision Analytics Agent: Scans CCTV feeds for PPE compliance (helmets, vests, face shields) and updates zone hazard context.</w:t>
      </w:r>
    </w:p>
    <w:p>
      <w:pPr>
        <w:pStyle w:val="ListBullet"/>
      </w:pPr>
      <w:r>
        <w:t>Permit Intelligence Agent: Audits digital permit-to-work records for spatial/temporal conflicts (e.g., hot work in high-gas zones).</w:t>
      </w:r>
    </w:p>
    <w:p>
      <w:pPr>
        <w:pStyle w:val="ListBullet"/>
      </w:pPr>
      <w:r>
        <w:t>Compound Risk Agent: Calculates the aggregated risk score and correlates current trends with historical incident database pre-cursors.</w:t>
      </w:r>
    </w:p>
    <w:p>
      <w:pPr>
        <w:pStyle w:val="ListBullet"/>
      </w:pPr>
      <w:r>
        <w:t>Emergency Response Agent: Formulates prioritized actions and automatically triggers evacuation recommendations if risk exceeds 70%.</w:t>
      </w:r>
    </w:p>
    <w:p>
      <w:pPr>
        <w:pStyle w:val="Heading1"/>
      </w:pPr>
      <w:r>
        <w:t>3. Platform Tech Stack &amp; Data Sources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Component</w:t>
            </w:r>
          </w:p>
        </w:tc>
        <w:tc>
          <w:tcPr>
            <w:tcW w:type="dxa" w:w="2880"/>
          </w:tcPr>
          <w:p>
            <w:r>
              <w:t>Functionality</w:t>
            </w:r>
          </w:p>
        </w:tc>
      </w:tr>
      <w:tr>
        <w:tc>
          <w:tcPr>
            <w:tcW w:type="dxa" w:w="2880"/>
          </w:tcPr>
          <w:p>
            <w:r>
              <w:t>Frontend Client</w:t>
            </w:r>
          </w:p>
        </w:tc>
        <w:tc>
          <w:tcPr>
            <w:tcW w:type="dxa" w:w="2880"/>
          </w:tcPr>
          <w:p>
            <w:r>
              <w:t>Next.js 16, React 19, Tailwind CSS 4.0</w:t>
            </w:r>
          </w:p>
        </w:tc>
        <w:tc>
          <w:tcPr>
            <w:tcW w:type="dxa" w:w="2880"/>
          </w:tcPr>
          <w:p>
            <w:r>
              <w:t>Responsive dashboard showing plant digital twin, live alerts, and agent pipeline traces.</w:t>
            </w:r>
          </w:p>
        </w:tc>
      </w:tr>
      <w:tr>
        <w:tc>
          <w:tcPr>
            <w:tcW w:type="dxa" w:w="2880"/>
          </w:tcPr>
          <w:p>
            <w:r>
              <w:t>State Store</w:t>
            </w:r>
          </w:p>
        </w:tc>
        <w:tc>
          <w:tcPr>
            <w:tcW w:type="dxa" w:w="2880"/>
          </w:tcPr>
          <w:p>
            <w:r>
              <w:t>Zustand 5 &amp; React Context Providers</w:t>
            </w:r>
          </w:p>
        </w:tc>
        <w:tc>
          <w:tcPr>
            <w:tcW w:type="dxa" w:w="2880"/>
          </w:tcPr>
          <w:p>
            <w:r>
              <w:t>Manages real-time telemetry inputs, simulation state, and historical matching.</w:t>
            </w:r>
          </w:p>
        </w:tc>
      </w:tr>
      <w:tr>
        <w:tc>
          <w:tcPr>
            <w:tcW w:type="dxa" w:w="2880"/>
          </w:tcPr>
          <w:p>
            <w:r>
              <w:t>AI Pipeline</w:t>
            </w:r>
          </w:p>
        </w:tc>
        <w:tc>
          <w:tcPr>
            <w:tcW w:type="dxa" w:w="2880"/>
          </w:tcPr>
          <w:p>
            <w:r>
              <w:t>TypeScript Multi-Agent Flow Engine</w:t>
            </w:r>
          </w:p>
        </w:tc>
        <w:tc>
          <w:tcPr>
            <w:tcW w:type="dxa" w:w="2880"/>
          </w:tcPr>
          <w:p>
            <w:r>
              <w:t>Executes sequential agent functions, converting agent outputs into JSON payloads.</w:t>
            </w:r>
          </w:p>
        </w:tc>
      </w:tr>
      <w:tr>
        <w:tc>
          <w:tcPr>
            <w:tcW w:type="dxa" w:w="2880"/>
          </w:tcPr>
          <w:p>
            <w:r>
              <w:t>Risk Engine</w:t>
            </w:r>
          </w:p>
        </w:tc>
        <w:tc>
          <w:tcPr>
            <w:tcW w:type="dxa" w:w="2880"/>
          </w:tcPr>
          <w:p>
            <w:r>
              <w:t>Compound Risk Engine (Rule-based)</w:t>
            </w:r>
          </w:p>
        </w:tc>
        <w:tc>
          <w:tcPr>
            <w:tcW w:type="dxa" w:w="2880"/>
          </w:tcPr>
          <w:p>
            <w:r>
              <w:t>Applies transparent weighted geometric formulas to calculate real-time risks.</w:t>
            </w:r>
          </w:p>
        </w:tc>
      </w:tr>
      <w:tr>
        <w:tc>
          <w:tcPr>
            <w:tcW w:type="dxa" w:w="2880"/>
          </w:tcPr>
          <w:p>
            <w:r>
              <w:t>Compliance</w:t>
            </w:r>
          </w:p>
        </w:tc>
        <w:tc>
          <w:tcPr>
            <w:tcW w:type="dxa" w:w="2880"/>
          </w:tcPr>
          <w:p>
            <w:r>
              <w:t>In-Memory RAG Retrieval Engine</w:t>
            </w:r>
          </w:p>
        </w:tc>
        <w:tc>
          <w:tcPr>
            <w:tcW w:type="dxa" w:w="2880"/>
          </w:tcPr>
          <w:p>
            <w:r>
              <w:t>Scans 14 standards (OISD, Factory Act) and provides citations with exact text clauses.</w:t>
            </w:r>
          </w:p>
        </w:tc>
      </w:tr>
    </w:tbl>
    <w:p/>
    <w:p>
      <w:pPr>
        <w:pStyle w:val="Heading1"/>
      </w:pPr>
      <w:r>
        <w:t>4. Mathematical Formulation of Compound Risk</w:t>
      </w:r>
    </w:p>
    <w:p>
      <w:r>
        <w:t>To prevent arbitrary black-box assessments, SafetyOS uses an explainable weighted correlation formula to compute risks for each plant zone:</w:t>
      </w:r>
    </w:p>
    <w:p>
      <w:r>
        <w:t>Compound Risk Score = Min(100, Sum(Score_i * Weight_i) / Sum(Weight_i))</w:t>
      </w:r>
    </w:p>
    <w:p>
      <w:pPr>
        <w:pStyle w:val="ListBullet"/>
      </w:pPr>
      <w:r>
        <w:t>Gas Telemetry (35% Weight): Measures rate-of-change and projects limit breaches.</w:t>
      </w:r>
    </w:p>
    <w:p>
      <w:pPr>
        <w:pStyle w:val="ListBullet"/>
      </w:pPr>
      <w:r>
        <w:t>Permit Conflicts (25% Weight): Detects spatial/temporal conflicts (e.g., Hot Work in gas hazard zone).</w:t>
      </w:r>
    </w:p>
    <w:p>
      <w:pPr>
        <w:pStyle w:val="ListBullet"/>
      </w:pPr>
      <w:r>
        <w:t>PPE Violations (15% Weight): Bounded CCTV analytics for missing safety wear.</w:t>
      </w:r>
    </w:p>
    <w:p>
      <w:pPr>
        <w:pStyle w:val="ListBullet"/>
      </w:pPr>
      <w:r>
        <w:t>Shift Changeover (10% Weight): Accounts for handoff communication gap risks.</w:t>
      </w:r>
    </w:p>
    <w:p>
      <w:pPr>
        <w:pStyle w:val="ListBullet"/>
      </w:pPr>
      <w:r>
        <w:t>Historical Pattern (15% Weight): Matches current parameters to known disaster precursors.</w:t>
      </w:r>
    </w:p>
    <w:p>
      <w:pPr>
        <w:pStyle w:val="Heading1"/>
      </w:pPr>
      <w:r>
        <w:t>5. Regulatory RAG Database &amp; Citations</w:t>
      </w:r>
    </w:p>
    <w:p>
      <w:r>
        <w:t>The RAG knowledge base contains 14 embedded industrial safety standards. The Ask SafetyOS Copilot processes queries in real-time and provides citations with direct clause excerpts, ensuring full audit compliance:</w:t>
      </w:r>
    </w:p>
    <w:p>
      <w:pPr>
        <w:pStyle w:val="ListBullet"/>
      </w:pPr>
      <w:r>
        <w:t>OISD-STD-144 (Section 4.1): Gas monitoring systems must trigger automatic safety interlocks and ventilation once limits are breached.</w:t>
      </w:r>
    </w:p>
    <w:p>
      <w:pPr>
        <w:pStyle w:val="ListBullet"/>
      </w:pPr>
      <w:r>
        <w:t>OISD-STD-154 (Section 4.3.2): Gas testing is mandatory within 15 minutes before hot work entry and must be repeated every 30 minutes.</w:t>
      </w:r>
    </w:p>
    <w:p>
      <w:pPr>
        <w:pStyle w:val="ListBullet"/>
      </w:pPr>
      <w:r>
        <w:t>Factories Act 1948 (Section 38): Mandates clear manholes, safety certification, and ventilation for confined space work.</w:t>
      </w:r>
    </w:p>
    <w:p>
      <w:pPr>
        <w:pStyle w:val="ListBullet"/>
      </w:pPr>
      <w:r>
        <w:t>DGMS Safety Circular 7/2024: Post-Visakhapatnam guidelines enforcing automatic SCADA interlocks in coke oven batteries.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