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FinGuard SafetyOS Submission Document</w:t>
      </w:r>
    </w:p>
    <w:p>
      <w:r>
        <w:rPr>
          <w:b/>
        </w:rPr>
        <w:t>Autonomous AI-Powered Industrial Safety Intelligence Platform for Zero-Harm Operations</w:t>
      </w:r>
    </w:p>
    <w:p>
      <w:pPr>
        <w:pStyle w:val="Heading1"/>
      </w:pPr>
      <w:r>
        <w:t>2. Executive Summary</w:t>
      </w:r>
    </w:p>
    <w:p>
      <w:r>
        <w:t>Heavy manufacturing environments (steel plants, chemical refineries, mines) are highly instrumented, yet safety incidents continue. The current industry standard relies on isolated threshold alarms (SCADA) and manual compliance tracking, which are structurally blind to complex, multi-factor compound hazards. FinGuard SafetyOS introduces an agentic AI architecture designed to act as the missing intelligence layer. By correlating IoT sensor telemetry, digital permit-to-work records, CCTV computer vision, and regulatory guidelines sequentially in under 200 milliseconds, SafetyOS provides early-warning notifications and coordinates response actions up to 47 minutes before critical safety limits are breached.</w:t>
      </w:r>
    </w:p>
    <w:p>
      <w:pPr>
        <w:pStyle w:val="Heading1"/>
      </w:pPr>
      <w:r>
        <w:t>3. Problem Statement &amp; Case Context</w:t>
      </w:r>
    </w:p>
    <w:p>
      <w:r>
        <w:t>On January 2025, eight workers tragically died at the Visakhapatnam Steel Plant's coke oven battery when entrapped gas exploded. The plant possessed active gas detectors, digital permits, and working SCADA alarms. However, these systems operated in isolation, failing to detect the compound hazard. This case highlights a common challenge: data is present but siloed. There is no automated system to correlate rising gas concentrations with active hot-work permits, high worker density, and communication gaps during shift changeovers.</w:t>
      </w:r>
    </w:p>
    <w:p>
      <w:pPr>
        <w:pStyle w:val="Heading1"/>
      </w:pPr>
      <w:r>
        <w:t>4. Existing Challenges in Industrial Safety</w:t>
      </w:r>
    </w:p>
    <w:p>
      <w:r>
        <w:t>Current safety setups suffer from three main limitations:</w:t>
        <w:br/>
        <w:t>1. Single-Threshold Blindness: SCADA systems only trigger when a single sensor breaches an absolute value (e.g., Gas &gt; 15 ppm).</w:t>
        <w:br/>
        <w:t>2. Context Blindness: Process instrumentation systems (DCS/SCADA) operate independently of administrative safety software (Permits, shift logs).</w:t>
        <w:br/>
        <w:t>3. Zero Lead Time: Alarms trigger when a limit is breached, leaving very little time for operators to evacuate.</w:t>
      </w:r>
    </w:p>
    <w:p>
      <w:pPr>
        <w:pStyle w:val="Heading1"/>
      </w:pPr>
      <w:r>
        <w:t>5. Proposed Solution: FinGuard SafetyOS</w:t>
      </w:r>
    </w:p>
    <w:p>
      <w:r>
        <w:t>SafetyOS introduces a Multi-Agent Sequential AI Pipeline that operates above existing plant instrumentation. Rather than relying on black-box neural networks, SafetyOS breaks down industrial safety analysis into a sequential chain of specialized agents. Each agent consumes the structured JSON output of its predecessor, layering context to execute end-to-end plant safety assessments.</w:t>
      </w:r>
    </w:p>
    <w:p>
      <w:pPr>
        <w:pStyle w:val="Heading1"/>
      </w:pPr>
      <w:r>
        <w:t>6. System Architecture &amp; Components</w:t>
      </w:r>
    </w:p>
    <w:p>
      <w:r>
        <w:t>The platform architecture separates Data Ingestion, Agent Pipeline, Cognition, and Action layers:</w:t>
        <w:br/>
        <w:t>- Data Ingestion: Consumes telemetry from IoT sensors, CCTV edge metrics, permit logs, and worker tracking.</w:t>
        <w:br/>
        <w:t>- Agent Pipeline: Coordinates the execution of five specialized agents sequentially.</w:t>
        <w:br/>
        <w:t>- Cognition Engine: Evaluates risks using weighted geometric formulas, regulatory RAG retrieval, and historical pattern matching.</w:t>
        <w:br/>
        <w:t>- Action Layer: Dispatches alerts, recommendations, and SCADA shutdown interlocks.</w:t>
      </w:r>
    </w:p>
    <w:p>
      <w:pPr>
        <w:pStyle w:val="Heading1"/>
      </w:pPr>
      <w:r>
        <w:t>7. Multi-Agent Pipeline Execution Flow</w:t>
      </w:r>
    </w:p>
    <w:p>
      <w:r>
        <w:t>SafetyOS runs five specialized agents in sequence, passing structured JSON payloads from one agent to the next:</w:t>
        <w:br/>
        <w:t>- Sensor Fusion Agent: Aggregates IoT telemetry, calculates rate-of-change, and projects time-to-threshold.</w:t>
        <w:br/>
        <w:t>- Vision Analytics Agent: Scans CCTV feeds for PPE compliance (helmets, vests, face shields).</w:t>
        <w:br/>
        <w:t>- Permit Intelligence Agent: Audits digital permit-to-work records for spatial/temporal conflicts.</w:t>
        <w:br/>
        <w:t>- Compound Risk Agent: Calculates risk score and correlates trends with historical incident database pre-cursors.</w:t>
        <w:br/>
        <w:t>- Emergency Response Agent: Formulates prioritized actions and triggers evacuation recommendations (&gt;70%).</w:t>
      </w:r>
    </w:p>
    <w:p>
      <w:pPr>
        <w:pStyle w:val="Heading1"/>
      </w:pPr>
      <w:r>
        <w:t>8. Compound Risk Engine &amp; Calculations</w:t>
      </w:r>
    </w:p>
    <w:p>
      <w:r>
        <w:t>Every hazard is calculated using a transparent weighting system, rather than an uninterpretable AI prediction model:</w:t>
        <w:br/>
        <w:t>Compound Risk Score = Min(100, Sum(Score_i * Weight_i) / Sum(Weight_i))</w:t>
        <w:br/>
        <w:t>- Gas Telemetry (35% Weight)</w:t>
        <w:br/>
        <w:t>- Permit Conflicts (25% Weight)</w:t>
        <w:br/>
        <w:t>- PPE Violations (15% Weight)</w:t>
        <w:br/>
        <w:t>- Shift Changeover (10% Weight)</w:t>
        <w:br/>
        <w:t>- Historical Pattern (15% Weight)</w:t>
      </w:r>
    </w:p>
    <w:p>
      <w:pPr>
        <w:pStyle w:val="Heading1"/>
      </w:pPr>
      <w:r>
        <w:t>9. Regulatory RAG Pipeline</w:t>
      </w:r>
    </w:p>
    <w:p>
      <w:r>
        <w:t>The RAG knowledge base contains 14 embedded industrial safety standards. The Ask SafetyOS Copilot processes queries in real-time and provides citations with direct clause excerpts, ensuring full audit compliance:</w:t>
        <w:br/>
        <w:t>- OISD-STD-144 (Section 4.1): Gas monitoring automatic safety interlocks.</w:t>
        <w:br/>
        <w:t>- OISD-STD-154 (Section 4.3.2): Gas testing mandatory within 15 minutes before hot work entry.</w:t>
        <w:br/>
        <w:t>- Factories Act 1948 (Section 38): Confined space safety regulations.</w:t>
        <w:br/>
        <w:t>- DGMS Safety Circular 7/2024: Mandatory automatic SCADA interlocks in coke oven batteries.</w:t>
      </w:r>
    </w:p>
    <w:p>
      <w:pPr>
        <w:pStyle w:val="Heading1"/>
      </w:pPr>
      <w:r>
        <w:t>10. Core Features &amp; Functionalities</w:t>
      </w:r>
    </w:p>
    <w:p>
      <w:r>
        <w:t>1. Live Command Center: Digital twin overview mapping worker locations and active unit health.</w:t>
        <w:br/>
        <w:t>2. Multi-Agent Trace Board: Displays real-time execution latency and intermediate JSON schemas.</w:t>
        <w:br/>
        <w:t>3. Predictive Risk Trajectory: Forecasts risk levels over a 60-minute window.</w:t>
        <w:br/>
        <w:t>4. CCTV PPE compliance: Tracks helmet, vest, and face shield compliance.</w:t>
        <w:br/>
        <w:t>5. Regulatory RAG Copilot: Contextual Q&amp;A box that retrieves matching standards.</w:t>
      </w:r>
    </w:p>
    <w:p>
      <w:pPr>
        <w:pStyle w:val="Heading1"/>
      </w:pPr>
      <w:r>
        <w:t>11. Visakhapatnam Incident Simulation</w:t>
      </w:r>
    </w:p>
    <w:p>
      <w:r>
        <w:t>SafetyOS features a 15-step interactive incident simulation. During replay, the system mimics the January 2025 accident conditions. The pipeline correlates these inputs, raising the risk from 8% to 92%, and triggers an evacuation recommendation 15 minutes before the gas level reaches the explosion threshold.</w:t>
      </w:r>
    </w:p>
    <w:p>
      <w:pPr>
        <w:pStyle w:val="Heading1"/>
      </w:pPr>
      <w:r>
        <w:t>12. Business Impact &amp; ROI Analysis</w:t>
      </w:r>
    </w:p>
    <w:p>
      <w:r>
        <w:t>Deploying SafetyOS directly impacts operational risk management:</w:t>
        <w:br/>
        <w:t>- Fatality Mitigation: Avoids loss of life and subsequent liability payouts (averaging ₹1-3 crore per fatality).</w:t>
        <w:br/>
        <w:t>- Insurance Optimizations: Documenting compliant safety interlocks helps negotiate lower premiums.</w:t>
        <w:br/>
        <w:t>- Minimizing Downtime: Prevents regulatory shutdowns and investigation-related operational stoppages.</w:t>
      </w:r>
    </w:p>
    <w:p>
      <w:pPr>
        <w:pStyle w:val="Heading1"/>
      </w:pPr>
      <w:r>
        <w:t>13. Future Scope &amp; Roadmap</w:t>
      </w:r>
    </w:p>
    <w:p>
      <w:r>
        <w:t>Phase 1: Local Prototype (Current) — Client-side agent execution, simulation loop, in-memory RAG database.</w:t>
        <w:br/>
        <w:t>Phase 2: Pilot Deployment — Connect real OPC-UA gateways, edge AI CCTV streams, vector database RAG pipeline.</w:t>
        <w:br/>
        <w:t>Phase 3: Enterprise Rollout — Cloud-based multi-tenant control, automated insurance reports, global notification alerts.</w:t>
      </w:r>
    </w:p>
    <w:p>
      <w:pPr>
        <w:pStyle w:val="Heading1"/>
      </w:pPr>
      <w:r>
        <w:t>14. Team &amp; Project References</w:t>
      </w:r>
    </w:p>
    <w:p>
      <w:r>
        <w:t>Development Team: Anurag Kannojiya &amp; Akshu Mishra</w:t>
        <w:br/>
        <w:t>References:</w:t>
        <w:br/>
        <w:t>1. OISD Standard 144 — Gas Detection and Monitoring Systems</w:t>
        <w:br/>
        <w:t>2. OISD Standard 154 — Gas Testing and Permit-to-Work Compliance</w:t>
        <w:br/>
        <w:t>3. Factories Act 1948, Section 38 — Confined space safety regulations</w:t>
        <w:br/>
        <w:t>4. DGMS Safety Circular 7/2024 — Incident investigation findings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