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5FA6"/>
          <w:sz w:val="44"/>
          <w:szCs w:val="44"/>
        </w:rPr>
        <w:t xml:space="preserve">GCP Deployment Cost Report</w:t>
      </w:r>
    </w:p>
    <w:p>
      <w:pPr>
        <w:spacing w:after="500"/>
        <w:jc w:val="center"/>
      </w:pPr>
      <w:r>
        <w:rPr>
          <w:color w:val="6B7280"/>
          <w:sz w:val="26"/>
          <w:szCs w:val="26"/>
        </w:rPr>
        <w:t xml:space="preserve">Property Inspection Platform — End-to-End Google Cloud Deployment</w:t>
      </w:r>
    </w:p>
    <w:p>
      <w:pPr>
        <w:spacing w:after="80"/>
        <w:jc w:val="center"/>
      </w:pPr>
      <w:r>
        <w:rPr>
          <w:i/>
          <w:iCs/>
          <w:sz w:val="22"/>
          <w:szCs w:val="22"/>
        </w:rPr>
        <w:t xml:space="preserve">Scenario A: Single-user pilot (1 property, 200 images/day)</w:t>
      </w:r>
    </w:p>
    <w:p>
      <w:pPr>
        <w:spacing w:after="400"/>
        <w:jc w:val="center"/>
      </w:pPr>
      <w:r>
        <w:rPr>
          <w:i/>
          <w:iCs/>
          <w:sz w:val="22"/>
          <w:szCs w:val="22"/>
        </w:rPr>
        <w:t xml:space="preserve">Scenario B: Projected scale-out to 50 users (50 properties)</w:t>
      </w:r>
    </w:p>
    <w:p>
      <w:pPr>
        <w:jc w:val="center"/>
      </w:pPr>
      <w:r>
        <w:rPr>
          <w:color w:val="6B7280"/>
          <w:sz w:val="20"/>
          <w:szCs w:val="20"/>
        </w:rPr>
        <w:t xml:space="preserve">September 2026  ·  Internal Planning Document</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Executive Summary</w:t>
      </w:r>
    </w:p>
    <w:p>
      <w:pPr>
        <w:spacing w:after="140"/>
      </w:pPr>
      <w:r>
        <w:t xml:space="preserve">This report estimates the full Google Cloud Platform (GCP) cost of running the property inspection platform end to end, across two scenarios: the current single-user pilot (one property, roughly 200 inspection photos per day), and a projected scale-out to 50 users, each with their own property.</w:t>
      </w:r>
    </w:p>
    <w:p>
      <w:pPr>
        <w:spacing w:after="140"/>
      </w:pPr>
      <w:r>
        <w:t xml:space="preserve">The pilot scenario is deliberately architected to cost almost nothing, by running the entire application stack on a single Always-Free-tier virtual machine and using free tiers wherever GCP or a provider offers one. This is appropriate for validating the product with a real user, but it is not the architecture the platform should run on once multiple paying customers depend on it.</w:t>
      </w:r>
    </w:p>
    <w:p>
      <w:pPr>
        <w:spacing w:after="140"/>
      </w:pPr>
      <w:r>
        <w:t xml:space="preserve">The 50-user scenario replaces every pilot-only shortcut with a properly managed, production-grade service — managed database with automatic failover, managed caching, autoscaled workers — and estimates cost using GCP's published rates. At that scale, the estimated total is approximately $680 per month, or roughly $13.60 per property per month, which should be weighed directly against the subscription price charged per property.</w:t>
      </w:r>
    </w:p>
    <w:p>
      <w:pPr>
        <w:spacing w:after="140"/>
      </w:pPr>
      <w:r>
        <w:t xml:space="preserve">The single largest and most variable cost at scale is the AI evaluation pipeline (the per-photo vision-model API calls), which scales linearly with inspection volume. This is the cost line to monitor most closely as the user base grows, and the primary lever for future cost optimization.</w:t>
      </w:r>
    </w:p>
    <w:p>
      <w:pPr>
        <w:pStyle w:val="Heading1"/>
        <w:spacing w:after="160" w:before="320"/>
      </w:pPr>
      <w:r>
        <w:t xml:space="preserve">2. Scope, Scenarios &amp; Assumptions</w:t>
      </w:r>
    </w:p>
    <w:p>
      <w:pPr>
        <w:pStyle w:val="Heading2"/>
        <w:spacing w:after="120" w:before="240"/>
      </w:pPr>
      <w:r>
        <w:t xml:space="preserve">2.1 What This Report Covers</w:t>
      </w:r>
    </w:p>
    <w:p>
      <w:pPr>
        <w:spacing w:after="140"/>
      </w:pPr>
      <w:r>
        <w:t xml:space="preserve">Every GCP service and third-party service required to run the platform end to end: compute (API and background workers), database, caching/queueing, object storage, the AI evaluation pipeline, authentication, notifications, payments, and supporting infrastructure (domain, CI/CD, monitoring).</w:t>
      </w:r>
    </w:p>
    <w:p>
      <w:pPr>
        <w:pStyle w:val="Heading2"/>
        <w:spacing w:after="120" w:before="240"/>
      </w:pPr>
      <w:r>
        <w:t xml:space="preserve">2.2 Scenario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c>
          <w:tcPr>
            <w:tcW w:type="dxa" w:w="2400"/>
            <w:shd w:fill="1F5FA6" w:color="auto" w:val="clear"/>
            <w:tcMar>
              <w:top w:type="dxa" w:w="80"/>
              <w:left w:type="dxa" w:w="120"/>
              <w:bottom w:type="dxa" w:w="80"/>
              <w:right w:type="dxa" w:w="120"/>
            </w:tcMar>
            <w:vAlign w:val="center"/>
          </w:tcPr>
          <w:p>
            <w:r>
              <w:rPr>
                <w:b/>
                <w:bCs/>
                <w:color w:val="FFFFFF"/>
                <w:sz w:val="19"/>
                <w:szCs w:val="19"/>
              </w:rPr>
              <w:t xml:space="preserve"/>
            </w:r>
          </w:p>
        </w:tc>
        <w:tc>
          <w:tcPr>
            <w:tcW w:type="dxa" w:w="3400"/>
            <w:shd w:fill="1F5FA6" w:color="auto" w:val="clear"/>
            <w:tcMar>
              <w:top w:type="dxa" w:w="80"/>
              <w:left w:type="dxa" w:w="120"/>
              <w:bottom w:type="dxa" w:w="80"/>
              <w:right w:type="dxa" w:w="120"/>
            </w:tcMar>
            <w:vAlign w:val="center"/>
          </w:tcPr>
          <w:p>
            <w:r>
              <w:rPr>
                <w:b/>
                <w:bCs/>
                <w:color w:val="FFFFFF"/>
                <w:sz w:val="19"/>
                <w:szCs w:val="19"/>
              </w:rPr>
              <w:t xml:space="preserve">Scenario A — Pilot</w:t>
            </w:r>
          </w:p>
        </w:tc>
        <w:tc>
          <w:tcPr>
            <w:tcW w:type="dxa" w:w="3200"/>
            <w:shd w:fill="1F5FA6" w:color="auto" w:val="clear"/>
            <w:tcMar>
              <w:top w:type="dxa" w:w="80"/>
              <w:left w:type="dxa" w:w="120"/>
              <w:bottom w:type="dxa" w:w="80"/>
              <w:right w:type="dxa" w:w="120"/>
            </w:tcMar>
            <w:vAlign w:val="center"/>
          </w:tcPr>
          <w:p>
            <w:r>
              <w:rPr>
                <w:b/>
                <w:bCs/>
                <w:color w:val="FFFFFF"/>
                <w:sz w:val="19"/>
                <w:szCs w:val="19"/>
              </w:rPr>
              <w:t xml:space="preserve">Scenario B — 50 Users</w:t>
            </w:r>
          </w:p>
        </w:tc>
      </w:tr>
      <w:tr>
        <w:tc>
          <w:tcPr>
            <w:tcW w:type="dxa" w:w="2400"/>
            <w:shd w:fill="FFFFFF" w:color="auto" w:val="clear"/>
            <w:tcMar>
              <w:top w:type="dxa" w:w="80"/>
              <w:left w:type="dxa" w:w="120"/>
              <w:bottom w:type="dxa" w:w="80"/>
              <w:right w:type="dxa" w:w="120"/>
            </w:tcMar>
            <w:vAlign w:val="center"/>
          </w:tcPr>
          <w:p>
            <w:r>
              <w:rPr>
                <w:b w:val="false"/>
                <w:bCs w:val="false"/>
                <w:color w:val="000000"/>
                <w:sz w:val="19"/>
                <w:szCs w:val="19"/>
              </w:rPr>
              <w:t xml:space="preserve">Users / properties</w:t>
            </w:r>
          </w:p>
        </w:tc>
        <w:tc>
          <w:tcPr>
            <w:tcW w:type="dxa" w:w="3400"/>
            <w:shd w:fill="FFFFFF" w:color="auto" w:val="clear"/>
            <w:tcMar>
              <w:top w:type="dxa" w:w="80"/>
              <w:left w:type="dxa" w:w="120"/>
              <w:bottom w:type="dxa" w:w="80"/>
              <w:right w:type="dxa" w:w="120"/>
            </w:tcMar>
            <w:vAlign w:val="center"/>
          </w:tcPr>
          <w:p>
            <w:r>
              <w:rPr>
                <w:b w:val="false"/>
                <w:bCs w:val="false"/>
                <w:color w:val="000000"/>
                <w:sz w:val="19"/>
                <w:szCs w:val="19"/>
              </w:rPr>
              <w:t xml:space="preserve">1</w:t>
            </w:r>
          </w:p>
        </w:tc>
        <w:tc>
          <w:tcPr>
            <w:tcW w:type="dxa" w:w="3200"/>
            <w:shd w:fill="FFFFFF" w:color="auto" w:val="clear"/>
            <w:tcMar>
              <w:top w:type="dxa" w:w="80"/>
              <w:left w:type="dxa" w:w="120"/>
              <w:bottom w:type="dxa" w:w="80"/>
              <w:right w:type="dxa" w:w="120"/>
            </w:tcMar>
            <w:vAlign w:val="center"/>
          </w:tcPr>
          <w:p>
            <w:r>
              <w:rPr>
                <w:b w:val="false"/>
                <w:bCs w:val="false"/>
                <w:color w:val="000000"/>
                <w:sz w:val="19"/>
                <w:szCs w:val="19"/>
              </w:rPr>
              <w:t xml:space="preserve">50</w:t>
            </w:r>
          </w:p>
        </w:tc>
      </w:tr>
      <w:tr>
        <w:tc>
          <w:tcPr>
            <w:tcW w:type="dxa" w:w="2400"/>
            <w:shd w:fill="EAF1FB" w:color="auto" w:val="clear"/>
            <w:tcMar>
              <w:top w:type="dxa" w:w="80"/>
              <w:left w:type="dxa" w:w="120"/>
              <w:bottom w:type="dxa" w:w="80"/>
              <w:right w:type="dxa" w:w="120"/>
            </w:tcMar>
            <w:vAlign w:val="center"/>
          </w:tcPr>
          <w:p>
            <w:r>
              <w:rPr>
                <w:b w:val="false"/>
                <w:bCs w:val="false"/>
                <w:color w:val="000000"/>
                <w:sz w:val="19"/>
                <w:szCs w:val="19"/>
              </w:rPr>
              <w:t xml:space="preserve">Images processed / day</w:t>
            </w:r>
          </w:p>
        </w:tc>
        <w:tc>
          <w:tcPr>
            <w:tcW w:type="dxa" w:w="3400"/>
            <w:shd w:fill="EAF1FB" w:color="auto" w:val="clear"/>
            <w:tcMar>
              <w:top w:type="dxa" w:w="80"/>
              <w:left w:type="dxa" w:w="120"/>
              <w:bottom w:type="dxa" w:w="80"/>
              <w:right w:type="dxa" w:w="120"/>
            </w:tcMar>
            <w:vAlign w:val="center"/>
          </w:tcPr>
          <w:p>
            <w:r>
              <w:rPr>
                <w:b w:val="false"/>
                <w:bCs w:val="false"/>
                <w:color w:val="000000"/>
                <w:sz w:val="19"/>
                <w:szCs w:val="19"/>
              </w:rPr>
              <w:t xml:space="preserve">200 (1 property)</w:t>
            </w:r>
          </w:p>
        </w:tc>
        <w:tc>
          <w:tcPr>
            <w:tcW w:type="dxa" w:w="3200"/>
            <w:shd w:fill="EAF1FB" w:color="auto" w:val="clear"/>
            <w:tcMar>
              <w:top w:type="dxa" w:w="80"/>
              <w:left w:type="dxa" w:w="120"/>
              <w:bottom w:type="dxa" w:w="80"/>
              <w:right w:type="dxa" w:w="120"/>
            </w:tcMar>
            <w:vAlign w:val="center"/>
          </w:tcPr>
          <w:p>
            <w:r>
              <w:rPr>
                <w:b w:val="false"/>
                <w:bCs w:val="false"/>
                <w:color w:val="000000"/>
                <w:sz w:val="19"/>
                <w:szCs w:val="19"/>
              </w:rPr>
              <w:t xml:space="preserve">10,000 (50 properties × 200/day, average)</w:t>
            </w:r>
          </w:p>
        </w:tc>
      </w:tr>
      <w:tr>
        <w:tc>
          <w:tcPr>
            <w:tcW w:type="dxa" w:w="2400"/>
            <w:shd w:fill="FFFFFF" w:color="auto" w:val="clear"/>
            <w:tcMar>
              <w:top w:type="dxa" w:w="80"/>
              <w:left w:type="dxa" w:w="120"/>
              <w:bottom w:type="dxa" w:w="80"/>
              <w:right w:type="dxa" w:w="120"/>
            </w:tcMar>
            <w:vAlign w:val="center"/>
          </w:tcPr>
          <w:p>
            <w:r>
              <w:rPr>
                <w:b w:val="false"/>
                <w:bCs w:val="false"/>
                <w:color w:val="000000"/>
                <w:sz w:val="19"/>
                <w:szCs w:val="19"/>
              </w:rPr>
              <w:t xml:space="preserve">Architecture posture</w:t>
            </w:r>
          </w:p>
        </w:tc>
        <w:tc>
          <w:tcPr>
            <w:tcW w:type="dxa" w:w="3400"/>
            <w:shd w:fill="FFFFFF" w:color="auto" w:val="clear"/>
            <w:tcMar>
              <w:top w:type="dxa" w:w="80"/>
              <w:left w:type="dxa" w:w="120"/>
              <w:bottom w:type="dxa" w:w="80"/>
              <w:right w:type="dxa" w:w="120"/>
            </w:tcMar>
            <w:vAlign w:val="center"/>
          </w:tcPr>
          <w:p>
            <w:r>
              <w:rPr>
                <w:b w:val="false"/>
                <w:bCs w:val="false"/>
                <w:color w:val="000000"/>
                <w:sz w:val="19"/>
                <w:szCs w:val="19"/>
              </w:rPr>
              <w:t xml:space="preserve">Single free VM, self-hosted, maximum free-tier usage</w:t>
            </w:r>
          </w:p>
        </w:tc>
        <w:tc>
          <w:tcPr>
            <w:tcW w:type="dxa" w:w="3200"/>
            <w:shd w:fill="FFFFFF" w:color="auto" w:val="clear"/>
            <w:tcMar>
              <w:top w:type="dxa" w:w="80"/>
              <w:left w:type="dxa" w:w="120"/>
              <w:bottom w:type="dxa" w:w="80"/>
              <w:right w:type="dxa" w:w="120"/>
            </w:tcMar>
            <w:vAlign w:val="center"/>
          </w:tcPr>
          <w:p>
            <w:r>
              <w:rPr>
                <w:b w:val="false"/>
                <w:bCs w:val="false"/>
                <w:color w:val="000000"/>
                <w:sz w:val="19"/>
                <w:szCs w:val="19"/>
              </w:rPr>
              <w:t xml:space="preserve">Fully managed GCP services, production-grade reliability</w:t>
            </w:r>
          </w:p>
        </w:tc>
      </w:tr>
    </w:tbl>
    <w:p>
      <w:pPr>
        <w:pStyle w:val="Heading2"/>
        <w:spacing w:after="120" w:before="240"/>
      </w:pPr>
      <w:r>
        <w:t xml:space="preserve">2.3 Key Assumptions</w:t>
      </w:r>
    </w:p>
    <w:p>
      <w:pPr>
        <w:pStyle w:val="ListParagraph"/>
        <w:numPr>
          <w:ilvl w:val="0"/>
          <w:numId w:val="2"/>
        </w:numPr>
        <w:spacing w:after="80"/>
      </w:pPr>
      <w:r>
        <w:t xml:space="preserve">Average captured image size: ~5 MB, consistent with prior sizing based on your stated daily volumes.</w:t>
      </w:r>
    </w:p>
    <w:p>
      <w:pPr>
        <w:pStyle w:val="ListParagraph"/>
        <w:numPr>
          <w:ilvl w:val="0"/>
          <w:numId w:val="2"/>
        </w:numPr>
        <w:spacing w:after="80"/>
      </w:pPr>
      <w:r>
        <w:t xml:space="preserve">Average of 200 images/day per property is treated as a flat per-property average across all 50 properties in Scenario B; actual per-property volume will vary.</w:t>
      </w:r>
    </w:p>
    <w:p>
      <w:pPr>
        <w:pStyle w:val="ListParagraph"/>
        <w:numPr>
          <w:ilvl w:val="0"/>
          <w:numId w:val="2"/>
        </w:numPr>
        <w:spacing w:after="80"/>
      </w:pPr>
      <w:r>
        <w:t xml:space="preserve">AI evaluation cost is modeled using a mid-tier commercial vision-capable LLM (illustrative rate, not a vendor quote) at roughly $0.0006 per evaluation call — see Section 5 for the calculation and its caveats.</w:t>
      </w:r>
    </w:p>
    <w:p>
      <w:pPr>
        <w:pStyle w:val="ListParagraph"/>
        <w:numPr>
          <w:ilvl w:val="0"/>
          <w:numId w:val="2"/>
        </w:numPr>
        <w:spacing w:after="80"/>
      </w:pPr>
      <w:r>
        <w:t xml:space="preserve">All GCP pricing reflects published rates in the US region as of this report's preparation date, and is described as illustrative — final costs should be confirmed against the GCP Pricing Calculator and current provider pricing pages before committing to a budget.</w:t>
      </w:r>
    </w:p>
    <w:p>
      <w:pPr>
        <w:pStyle w:val="ListParagraph"/>
        <w:numPr>
          <w:ilvl w:val="0"/>
          <w:numId w:val="2"/>
        </w:numPr>
        <w:spacing w:after="80"/>
      </w:pPr>
      <w:r>
        <w:t xml:space="preserve">Payment processing (Stripe/Razorpay) fees are excluded from the cost totals below, since they are billed per transaction against revenue rather than as an infrastructure cost.</w:t>
      </w:r>
    </w:p>
    <w:p>
      <w:pPr>
        <w:pStyle w:val="Heading1"/>
        <w:spacing w:after="160" w:before="320"/>
      </w:pPr>
      <w:r>
        <w:t xml:space="preserve">3. Scenario A — Single-User Pilot</w:t>
      </w:r>
    </w:p>
    <w:p>
      <w:pPr>
        <w:spacing w:after="140"/>
      </w:pPr>
      <w:r>
        <w:t xml:space="preserve">The pilot is intentionally architected to validate the product at close to zero infrastructure cost, by consolidating the entire stack onto GCP's Always-Free-tier Compute Engine instance and leaning on free tiers for every other service where one genuinely applies.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600"/>
      </w:tblGrid>
      <w:tr>
        <w:tc>
          <w:tcPr>
            <w:tcW w:type="dxa" w:w="2600"/>
            <w:shd w:fill="1F5FA6" w:color="auto" w:val="clear"/>
            <w:tcMar>
              <w:top w:type="dxa" w:w="80"/>
              <w:left w:type="dxa" w:w="120"/>
              <w:bottom w:type="dxa" w:w="80"/>
              <w:right w:type="dxa" w:w="120"/>
            </w:tcMar>
            <w:vAlign w:val="center"/>
          </w:tcPr>
          <w:p>
            <w:r>
              <w:rPr>
                <w:b/>
                <w:bCs/>
                <w:color w:val="FFFFFF"/>
                <w:sz w:val="19"/>
                <w:szCs w:val="19"/>
              </w:rPr>
              <w:t xml:space="preserve">Service</w:t>
            </w:r>
          </w:p>
        </w:tc>
        <w:tc>
          <w:tcPr>
            <w:tcW w:type="dxa" w:w="4800"/>
            <w:shd w:fill="1F5FA6" w:color="auto" w:val="clear"/>
            <w:tcMar>
              <w:top w:type="dxa" w:w="80"/>
              <w:left w:type="dxa" w:w="120"/>
              <w:bottom w:type="dxa" w:w="80"/>
              <w:right w:type="dxa" w:w="120"/>
            </w:tcMar>
            <w:vAlign w:val="center"/>
          </w:tcPr>
          <w:p>
            <w:r>
              <w:rPr>
                <w:b/>
                <w:bCs/>
                <w:color w:val="FFFFFF"/>
                <w:sz w:val="19"/>
                <w:szCs w:val="19"/>
              </w:rPr>
              <w:t xml:space="preserve">How It's Used / Why This Choice</w:t>
            </w:r>
          </w:p>
        </w:tc>
        <w:tc>
          <w:tcPr>
            <w:tcW w:type="dxa" w:w="1600"/>
            <w:shd w:fill="1F5FA6" w:color="auto" w:val="clear"/>
            <w:tcMar>
              <w:top w:type="dxa" w:w="80"/>
              <w:left w:type="dxa" w:w="120"/>
              <w:bottom w:type="dxa" w:w="80"/>
              <w:right w:type="dxa" w:w="120"/>
            </w:tcMar>
            <w:vAlign w:val="center"/>
          </w:tcPr>
          <w:p>
            <w:r>
              <w:rPr>
                <w:b/>
                <w:bCs/>
                <w:color w:val="FFFFFF"/>
                <w:sz w:val="19"/>
                <w:szCs w:val="19"/>
              </w:rPr>
              <w:t xml:space="preserve">Monthly Cost</w:t>
            </w:r>
          </w:p>
        </w:tc>
      </w:tr>
      <w:tr>
        <w:tc>
          <w:tcPr>
            <w:tcW w:type="dxa" w:w="2600"/>
            <w:shd w:fill="FFFFFF" w:color="auto" w:val="clear"/>
            <w:tcMar>
              <w:top w:type="dxa" w:w="80"/>
              <w:left w:type="dxa" w:w="120"/>
              <w:bottom w:type="dxa" w:w="80"/>
              <w:right w:type="dxa" w:w="120"/>
            </w:tcMar>
            <w:vAlign w:val="center"/>
          </w:tcPr>
          <w:p>
            <w:r>
              <w:rPr>
                <w:b w:val="false"/>
                <w:bCs w:val="false"/>
                <w:color w:val="000000"/>
                <w:sz w:val="19"/>
                <w:szCs w:val="19"/>
              </w:rPr>
              <w:t xml:space="preserve">Compute (API + background worker + cron)</w:t>
            </w:r>
          </w:p>
        </w:tc>
        <w:tc>
          <w:tcPr>
            <w:tcW w:type="dxa" w:w="4800"/>
            <w:shd w:fill="FFFFFF" w:color="auto" w:val="clear"/>
            <w:tcMar>
              <w:top w:type="dxa" w:w="80"/>
              <w:left w:type="dxa" w:w="120"/>
              <w:bottom w:type="dxa" w:w="80"/>
              <w:right w:type="dxa" w:w="120"/>
            </w:tcMar>
            <w:vAlign w:val="center"/>
          </w:tcPr>
          <w:p>
            <w:r>
              <w:rPr>
                <w:b w:val="false"/>
                <w:bCs w:val="false"/>
                <w:color w:val="000000"/>
                <w:sz w:val="19"/>
                <w:szCs w:val="19"/>
              </w:rPr>
              <w:t xml:space="preserve">FastAPI app, Celery worker, and a cron job all run together on one free e2-micro Compute Engine VM (Always Free tier: 1 instance, 744 hrs/month, in a US region)</w:t>
            </w:r>
          </w:p>
        </w:tc>
        <w:tc>
          <w:tcPr>
            <w:tcW w:type="dxa" w:w="1600"/>
            <w:shd w:fill="FFFFFF" w:color="auto" w:val="clear"/>
            <w:tcMar>
              <w:top w:type="dxa" w:w="80"/>
              <w:left w:type="dxa" w:w="120"/>
              <w:bottom w:type="dxa" w:w="80"/>
              <w:right w:type="dxa" w:w="120"/>
            </w:tcMar>
            <w:vAlign w:val="center"/>
          </w:tcPr>
          <w:p>
            <w:r>
              <w:rPr>
                <w:b w:val="false"/>
                <w:bCs w:val="false"/>
                <w:color w:val="000000"/>
                <w:sz w:val="19"/>
                <w:szCs w:val="19"/>
              </w:rPr>
              <w:t xml:space="preserve">$0</w:t>
            </w:r>
          </w:p>
        </w:tc>
      </w:tr>
      <w:tr>
        <w:tc>
          <w:tcPr>
            <w:tcW w:type="dxa" w:w="2600"/>
            <w:shd w:fill="EAF1FB" w:color="auto" w:val="clear"/>
            <w:tcMar>
              <w:top w:type="dxa" w:w="80"/>
              <w:left w:type="dxa" w:w="120"/>
              <w:bottom w:type="dxa" w:w="80"/>
              <w:right w:type="dxa" w:w="120"/>
            </w:tcMar>
            <w:vAlign w:val="center"/>
          </w:tcPr>
          <w:p>
            <w:r>
              <w:rPr>
                <w:b w:val="false"/>
                <w:bCs w:val="false"/>
                <w:color w:val="000000"/>
                <w:sz w:val="19"/>
                <w:szCs w:val="19"/>
              </w:rPr>
              <w:t xml:space="preserve">Database (PostgreSQL)</w:t>
            </w:r>
          </w:p>
        </w:tc>
        <w:tc>
          <w:tcPr>
            <w:tcW w:type="dxa" w:w="4800"/>
            <w:shd w:fill="EAF1FB" w:color="auto" w:val="clear"/>
            <w:tcMar>
              <w:top w:type="dxa" w:w="80"/>
              <w:left w:type="dxa" w:w="120"/>
              <w:bottom w:type="dxa" w:w="80"/>
              <w:right w:type="dxa" w:w="120"/>
            </w:tcMar>
            <w:vAlign w:val="center"/>
          </w:tcPr>
          <w:p>
            <w:r>
              <w:rPr>
                <w:b w:val="false"/>
                <w:bCs w:val="false"/>
                <w:color w:val="000000"/>
                <w:sz w:val="19"/>
                <w:szCs w:val="19"/>
              </w:rPr>
              <w:t xml:space="preserve">Self-hosted directly on the same free VM rather than managed Cloud SQL</w:t>
            </w:r>
          </w:p>
        </w:tc>
        <w:tc>
          <w:tcPr>
            <w:tcW w:type="dxa" w:w="1600"/>
            <w:shd w:fill="EAF1FB" w:color="auto" w:val="clear"/>
            <w:tcMar>
              <w:top w:type="dxa" w:w="80"/>
              <w:left w:type="dxa" w:w="120"/>
              <w:bottom w:type="dxa" w:w="80"/>
              <w:right w:type="dxa" w:w="120"/>
            </w:tcMar>
            <w:vAlign w:val="center"/>
          </w:tcPr>
          <w:p>
            <w:r>
              <w:rPr>
                <w:b w:val="false"/>
                <w:bCs w:val="false"/>
                <w:color w:val="000000"/>
                <w:sz w:val="19"/>
                <w:szCs w:val="19"/>
              </w:rPr>
              <w:t xml:space="preserve">$0</w:t>
            </w:r>
          </w:p>
        </w:tc>
      </w:tr>
      <w:tr>
        <w:tc>
          <w:tcPr>
            <w:tcW w:type="dxa" w:w="2600"/>
            <w:shd w:fill="FFFFFF" w:color="auto" w:val="clear"/>
            <w:tcMar>
              <w:top w:type="dxa" w:w="80"/>
              <w:left w:type="dxa" w:w="120"/>
              <w:bottom w:type="dxa" w:w="80"/>
              <w:right w:type="dxa" w:w="120"/>
            </w:tcMar>
            <w:vAlign w:val="center"/>
          </w:tcPr>
          <w:p>
            <w:r>
              <w:rPr>
                <w:b w:val="false"/>
                <w:bCs w:val="false"/>
                <w:color w:val="000000"/>
                <w:sz w:val="19"/>
                <w:szCs w:val="19"/>
              </w:rPr>
              <w:t xml:space="preserve">Cache / queue (Redis)</w:t>
            </w:r>
          </w:p>
        </w:tc>
        <w:tc>
          <w:tcPr>
            <w:tcW w:type="dxa" w:w="4800"/>
            <w:shd w:fill="FFFFFF" w:color="auto" w:val="clear"/>
            <w:tcMar>
              <w:top w:type="dxa" w:w="80"/>
              <w:left w:type="dxa" w:w="120"/>
              <w:bottom w:type="dxa" w:w="80"/>
              <w:right w:type="dxa" w:w="120"/>
            </w:tcMar>
            <w:vAlign w:val="center"/>
          </w:tcPr>
          <w:p>
            <w:r>
              <w:rPr>
                <w:b w:val="false"/>
                <w:bCs w:val="false"/>
                <w:color w:val="000000"/>
                <w:sz w:val="19"/>
                <w:szCs w:val="19"/>
              </w:rPr>
              <w:t xml:space="preserve">Self-hosted on the same free VM rather than managed Memorystore</w:t>
            </w:r>
          </w:p>
        </w:tc>
        <w:tc>
          <w:tcPr>
            <w:tcW w:type="dxa" w:w="1600"/>
            <w:shd w:fill="FFFFFF" w:color="auto" w:val="clear"/>
            <w:tcMar>
              <w:top w:type="dxa" w:w="80"/>
              <w:left w:type="dxa" w:w="120"/>
              <w:bottom w:type="dxa" w:w="80"/>
              <w:right w:type="dxa" w:w="120"/>
            </w:tcMar>
            <w:vAlign w:val="center"/>
          </w:tcPr>
          <w:p>
            <w:r>
              <w:rPr>
                <w:b w:val="false"/>
                <w:bCs w:val="false"/>
                <w:color w:val="000000"/>
                <w:sz w:val="19"/>
                <w:szCs w:val="19"/>
              </w:rPr>
              <w:t xml:space="preserve">$0</w:t>
            </w:r>
          </w:p>
        </w:tc>
      </w:tr>
      <w:tr>
        <w:tc>
          <w:tcPr>
            <w:tcW w:type="dxa" w:w="2600"/>
            <w:shd w:fill="EAF1FB" w:color="auto" w:val="clear"/>
            <w:tcMar>
              <w:top w:type="dxa" w:w="80"/>
              <w:left w:type="dxa" w:w="120"/>
              <w:bottom w:type="dxa" w:w="80"/>
              <w:right w:type="dxa" w:w="120"/>
            </w:tcMar>
            <w:vAlign w:val="center"/>
          </w:tcPr>
          <w:p>
            <w:r>
              <w:rPr>
                <w:b w:val="false"/>
                <w:bCs w:val="false"/>
                <w:color w:val="000000"/>
                <w:sz w:val="19"/>
                <w:szCs w:val="19"/>
              </w:rPr>
              <w:t xml:space="preserve">Object storage (photos)</w:t>
            </w:r>
          </w:p>
        </w:tc>
        <w:tc>
          <w:tcPr>
            <w:tcW w:type="dxa" w:w="4800"/>
            <w:shd w:fill="EAF1FB" w:color="auto" w:val="clear"/>
            <w:tcMar>
              <w:top w:type="dxa" w:w="80"/>
              <w:left w:type="dxa" w:w="120"/>
              <w:bottom w:type="dxa" w:w="80"/>
              <w:right w:type="dxa" w:w="120"/>
            </w:tcMar>
            <w:vAlign w:val="center"/>
          </w:tcPr>
          <w:p>
            <w:r>
              <w:rPr>
                <w:b w:val="false"/>
                <w:bCs w:val="false"/>
                <w:color w:val="000000"/>
                <w:sz w:val="19"/>
                <w:szCs w:val="19"/>
              </w:rPr>
              <w:t xml:space="preserve">Cloud Storage; first 5 GB/month free, remainder billed at standard rates</w:t>
            </w:r>
          </w:p>
        </w:tc>
        <w:tc>
          <w:tcPr>
            <w:tcW w:type="dxa" w:w="1600"/>
            <w:shd w:fill="EAF1FB" w:color="auto" w:val="clear"/>
            <w:tcMar>
              <w:top w:type="dxa" w:w="80"/>
              <w:left w:type="dxa" w:w="120"/>
              <w:bottom w:type="dxa" w:w="80"/>
              <w:right w:type="dxa" w:w="120"/>
            </w:tcMar>
            <w:vAlign w:val="center"/>
          </w:tcPr>
          <w:p>
            <w:r>
              <w:rPr>
                <w:b w:val="false"/>
                <w:bCs w:val="false"/>
                <w:color w:val="000000"/>
                <w:sz w:val="19"/>
                <w:szCs w:val="19"/>
              </w:rPr>
              <w:t xml:space="preserve">~$0.50</w:t>
            </w:r>
          </w:p>
        </w:tc>
      </w:tr>
      <w:tr>
        <w:tc>
          <w:tcPr>
            <w:tcW w:type="dxa" w:w="2600"/>
            <w:shd w:fill="FFFFFF" w:color="auto" w:val="clear"/>
            <w:tcMar>
              <w:top w:type="dxa" w:w="80"/>
              <w:left w:type="dxa" w:w="120"/>
              <w:bottom w:type="dxa" w:w="80"/>
              <w:right w:type="dxa" w:w="120"/>
            </w:tcMar>
            <w:vAlign w:val="center"/>
          </w:tcPr>
          <w:p>
            <w:r>
              <w:rPr>
                <w:b w:val="false"/>
                <w:bCs w:val="false"/>
                <w:color w:val="000000"/>
                <w:sz w:val="19"/>
                <w:szCs w:val="19"/>
              </w:rPr>
              <w:t xml:space="preserve">AI evaluation (vision API)</w:t>
            </w:r>
          </w:p>
        </w:tc>
        <w:tc>
          <w:tcPr>
            <w:tcW w:type="dxa" w:w="4800"/>
            <w:shd w:fill="FFFFFF" w:color="auto" w:val="clear"/>
            <w:tcMar>
              <w:top w:type="dxa" w:w="80"/>
              <w:left w:type="dxa" w:w="120"/>
              <w:bottom w:type="dxa" w:w="80"/>
              <w:right w:type="dxa" w:w="120"/>
            </w:tcMar>
            <w:vAlign w:val="center"/>
          </w:tcPr>
          <w:p>
            <w:r>
              <w:rPr>
                <w:b w:val="false"/>
                <w:bCs w:val="false"/>
                <w:color w:val="000000"/>
                <w:sz w:val="19"/>
                <w:szCs w:val="19"/>
              </w:rPr>
              <w:t xml:space="preserve">Google's free developer API tier for Gemini supports several hundred to 1,500+ requests/day depending on model — comfortably covers 200/day</w:t>
            </w:r>
          </w:p>
        </w:tc>
        <w:tc>
          <w:tcPr>
            <w:tcW w:type="dxa" w:w="1600"/>
            <w:shd w:fill="FFFFFF" w:color="auto" w:val="clear"/>
            <w:tcMar>
              <w:top w:type="dxa" w:w="80"/>
              <w:left w:type="dxa" w:w="120"/>
              <w:bottom w:type="dxa" w:w="80"/>
              <w:right w:type="dxa" w:w="120"/>
            </w:tcMar>
            <w:vAlign w:val="center"/>
          </w:tcPr>
          <w:p>
            <w:r>
              <w:rPr>
                <w:b w:val="false"/>
                <w:bCs w:val="false"/>
                <w:color w:val="000000"/>
                <w:sz w:val="19"/>
                <w:szCs w:val="19"/>
              </w:rPr>
              <w:t xml:space="preserve">$0</w:t>
            </w:r>
          </w:p>
        </w:tc>
      </w:tr>
      <w:tr>
        <w:tc>
          <w:tcPr>
            <w:tcW w:type="dxa" w:w="2600"/>
            <w:shd w:fill="EAF1FB" w:color="auto" w:val="clear"/>
            <w:tcMar>
              <w:top w:type="dxa" w:w="80"/>
              <w:left w:type="dxa" w:w="120"/>
              <w:bottom w:type="dxa" w:w="80"/>
              <w:right w:type="dxa" w:w="120"/>
            </w:tcMar>
            <w:vAlign w:val="center"/>
          </w:tcPr>
          <w:p>
            <w:r>
              <w:rPr>
                <w:b w:val="false"/>
                <w:bCs w:val="false"/>
                <w:color w:val="000000"/>
                <w:sz w:val="19"/>
                <w:szCs w:val="19"/>
              </w:rPr>
              <w:t xml:space="preserve">Authentication</w:t>
            </w:r>
          </w:p>
        </w:tc>
        <w:tc>
          <w:tcPr>
            <w:tcW w:type="dxa" w:w="4800"/>
            <w:shd w:fill="EAF1FB" w:color="auto" w:val="clear"/>
            <w:tcMar>
              <w:top w:type="dxa" w:w="80"/>
              <w:left w:type="dxa" w:w="120"/>
              <w:bottom w:type="dxa" w:w="80"/>
              <w:right w:type="dxa" w:w="120"/>
            </w:tcMar>
            <w:vAlign w:val="center"/>
          </w:tcPr>
          <w:p>
            <w:r>
              <w:rPr>
                <w:b w:val="false"/>
                <w:bCs w:val="false"/>
                <w:color w:val="000000"/>
                <w:sz w:val="19"/>
                <w:szCs w:val="19"/>
              </w:rPr>
              <w:t xml:space="preserve">Firebase Authentication (email link / Google Sign-In) instead of paid SMS OTP for a single internal user</w:t>
            </w:r>
          </w:p>
        </w:tc>
        <w:tc>
          <w:tcPr>
            <w:tcW w:type="dxa" w:w="1600"/>
            <w:shd w:fill="EAF1FB" w:color="auto" w:val="clear"/>
            <w:tcMar>
              <w:top w:type="dxa" w:w="80"/>
              <w:left w:type="dxa" w:w="120"/>
              <w:bottom w:type="dxa" w:w="80"/>
              <w:right w:type="dxa" w:w="120"/>
            </w:tcMar>
            <w:vAlign w:val="center"/>
          </w:tcPr>
          <w:p>
            <w:r>
              <w:rPr>
                <w:b w:val="false"/>
                <w:bCs w:val="false"/>
                <w:color w:val="000000"/>
                <w:sz w:val="19"/>
                <w:szCs w:val="19"/>
              </w:rPr>
              <w:t xml:space="preserve">$0</w:t>
            </w:r>
          </w:p>
        </w:tc>
      </w:tr>
      <w:tr>
        <w:tc>
          <w:tcPr>
            <w:tcW w:type="dxa" w:w="2600"/>
            <w:shd w:fill="FFFFFF" w:color="auto" w:val="clear"/>
            <w:tcMar>
              <w:top w:type="dxa" w:w="80"/>
              <w:left w:type="dxa" w:w="120"/>
              <w:bottom w:type="dxa" w:w="80"/>
              <w:right w:type="dxa" w:w="120"/>
            </w:tcMar>
            <w:vAlign w:val="center"/>
          </w:tcPr>
          <w:p>
            <w:r>
              <w:rPr>
                <w:b w:val="false"/>
                <w:bCs w:val="false"/>
                <w:color w:val="000000"/>
                <w:sz w:val="19"/>
                <w:szCs w:val="19"/>
              </w:rPr>
              <w:t xml:space="preserve">Push notifications</w:t>
            </w:r>
          </w:p>
        </w:tc>
        <w:tc>
          <w:tcPr>
            <w:tcW w:type="dxa" w:w="4800"/>
            <w:shd w:fill="FFFFFF" w:color="auto" w:val="clear"/>
            <w:tcMar>
              <w:top w:type="dxa" w:w="80"/>
              <w:left w:type="dxa" w:w="120"/>
              <w:bottom w:type="dxa" w:w="80"/>
              <w:right w:type="dxa" w:w="120"/>
            </w:tcMar>
            <w:vAlign w:val="center"/>
          </w:tcPr>
          <w:p>
            <w:r>
              <w:rPr>
                <w:b w:val="false"/>
                <w:bCs w:val="false"/>
                <w:color w:val="000000"/>
                <w:sz w:val="19"/>
                <w:szCs w:val="19"/>
              </w:rPr>
              <w:t xml:space="preserve">Firebase Cloud Messaging — free at any scale</w:t>
            </w:r>
          </w:p>
        </w:tc>
        <w:tc>
          <w:tcPr>
            <w:tcW w:type="dxa" w:w="1600"/>
            <w:shd w:fill="FFFFFF" w:color="auto" w:val="clear"/>
            <w:tcMar>
              <w:top w:type="dxa" w:w="80"/>
              <w:left w:type="dxa" w:w="120"/>
              <w:bottom w:type="dxa" w:w="80"/>
              <w:right w:type="dxa" w:w="120"/>
            </w:tcMar>
            <w:vAlign w:val="center"/>
          </w:tcPr>
          <w:p>
            <w:r>
              <w:rPr>
                <w:b w:val="false"/>
                <w:bCs w:val="false"/>
                <w:color w:val="000000"/>
                <w:sz w:val="19"/>
                <w:szCs w:val="19"/>
              </w:rPr>
              <w:t xml:space="preserve">$0</w:t>
            </w:r>
          </w:p>
        </w:tc>
      </w:tr>
      <w:tr>
        <w:tc>
          <w:tcPr>
            <w:tcW w:type="dxa" w:w="2600"/>
            <w:shd w:fill="EAF1FB" w:color="auto" w:val="clear"/>
            <w:tcMar>
              <w:top w:type="dxa" w:w="80"/>
              <w:left w:type="dxa" w:w="120"/>
              <w:bottom w:type="dxa" w:w="80"/>
              <w:right w:type="dxa" w:w="120"/>
            </w:tcMar>
            <w:vAlign w:val="center"/>
          </w:tcPr>
          <w:p>
            <w:r>
              <w:rPr>
                <w:b w:val="false"/>
                <w:bCs w:val="false"/>
                <w:color w:val="000000"/>
                <w:sz w:val="19"/>
                <w:szCs w:val="19"/>
              </w:rPr>
              <w:t xml:space="preserve">Payments</w:t>
            </w:r>
          </w:p>
        </w:tc>
        <w:tc>
          <w:tcPr>
            <w:tcW w:type="dxa" w:w="4800"/>
            <w:shd w:fill="EAF1FB" w:color="auto" w:val="clear"/>
            <w:tcMar>
              <w:top w:type="dxa" w:w="80"/>
              <w:left w:type="dxa" w:w="120"/>
              <w:bottom w:type="dxa" w:w="80"/>
              <w:right w:type="dxa" w:w="120"/>
            </w:tcMar>
            <w:vAlign w:val="center"/>
          </w:tcPr>
          <w:p>
            <w:r>
              <w:rPr>
                <w:b w:val="false"/>
                <w:bCs w:val="false"/>
                <w:color w:val="000000"/>
                <w:sz w:val="19"/>
                <w:szCs w:val="19"/>
              </w:rPr>
              <w:t xml:space="preserve">No monthly fee; per-transaction only, and no live transactions yet in pilot</w:t>
            </w:r>
          </w:p>
        </w:tc>
        <w:tc>
          <w:tcPr>
            <w:tcW w:type="dxa" w:w="1600"/>
            <w:shd w:fill="EAF1FB" w:color="auto" w:val="clear"/>
            <w:tcMar>
              <w:top w:type="dxa" w:w="80"/>
              <w:left w:type="dxa" w:w="120"/>
              <w:bottom w:type="dxa" w:w="80"/>
              <w:right w:type="dxa" w:w="120"/>
            </w:tcMar>
            <w:vAlign w:val="center"/>
          </w:tcPr>
          <w:p>
            <w:r>
              <w:rPr>
                <w:b w:val="false"/>
                <w:bCs w:val="false"/>
                <w:color w:val="000000"/>
                <w:sz w:val="19"/>
                <w:szCs w:val="19"/>
              </w:rPr>
              <w:t xml:space="preserve">$0</w:t>
            </w:r>
          </w:p>
        </w:tc>
      </w:tr>
      <w:tr>
        <w:tc>
          <w:tcPr>
            <w:tcW w:type="dxa" w:w="2600"/>
            <w:shd w:fill="FFFFFF" w:color="auto" w:val="clear"/>
            <w:tcMar>
              <w:top w:type="dxa" w:w="80"/>
              <w:left w:type="dxa" w:w="120"/>
              <w:bottom w:type="dxa" w:w="80"/>
              <w:right w:type="dxa" w:w="120"/>
            </w:tcMar>
            <w:vAlign w:val="center"/>
          </w:tcPr>
          <w:p>
            <w:r>
              <w:rPr>
                <w:b w:val="false"/>
                <w:bCs w:val="false"/>
                <w:color w:val="000000"/>
                <w:sz w:val="19"/>
                <w:szCs w:val="19"/>
              </w:rPr>
              <w:t xml:space="preserve">CI/CD</w:t>
            </w:r>
          </w:p>
        </w:tc>
        <w:tc>
          <w:tcPr>
            <w:tcW w:type="dxa" w:w="4800"/>
            <w:shd w:fill="FFFFFF" w:color="auto" w:val="clear"/>
            <w:tcMar>
              <w:top w:type="dxa" w:w="80"/>
              <w:left w:type="dxa" w:w="120"/>
              <w:bottom w:type="dxa" w:w="80"/>
              <w:right w:type="dxa" w:w="120"/>
            </w:tcMar>
            <w:vAlign w:val="center"/>
          </w:tcPr>
          <w:p>
            <w:r>
              <w:rPr>
                <w:b w:val="false"/>
                <w:bCs w:val="false"/>
                <w:color w:val="000000"/>
                <w:sz w:val="19"/>
                <w:szCs w:val="19"/>
              </w:rPr>
              <w:t xml:space="preserve">GitHub Actions free tier (2,000 minutes/month)</w:t>
            </w:r>
          </w:p>
        </w:tc>
        <w:tc>
          <w:tcPr>
            <w:tcW w:type="dxa" w:w="1600"/>
            <w:shd w:fill="FFFFFF" w:color="auto" w:val="clear"/>
            <w:tcMar>
              <w:top w:type="dxa" w:w="80"/>
              <w:left w:type="dxa" w:w="120"/>
              <w:bottom w:type="dxa" w:w="80"/>
              <w:right w:type="dxa" w:w="120"/>
            </w:tcMar>
            <w:vAlign w:val="center"/>
          </w:tcPr>
          <w:p>
            <w:r>
              <w:rPr>
                <w:b w:val="false"/>
                <w:bCs w:val="false"/>
                <w:color w:val="000000"/>
                <w:sz w:val="19"/>
                <w:szCs w:val="19"/>
              </w:rPr>
              <w:t xml:space="preserve">$0</w:t>
            </w:r>
          </w:p>
        </w:tc>
      </w:tr>
      <w:tr>
        <w:tc>
          <w:tcPr>
            <w:tcW w:type="dxa" w:w="2600"/>
            <w:shd w:fill="EAF1FB" w:color="auto" w:val="clear"/>
            <w:tcMar>
              <w:top w:type="dxa" w:w="80"/>
              <w:left w:type="dxa" w:w="120"/>
              <w:bottom w:type="dxa" w:w="80"/>
              <w:right w:type="dxa" w:w="120"/>
            </w:tcMar>
            <w:vAlign w:val="center"/>
          </w:tcPr>
          <w:p>
            <w:r>
              <w:rPr>
                <w:b w:val="false"/>
                <w:bCs w:val="false"/>
                <w:color w:val="000000"/>
                <w:sz w:val="19"/>
                <w:szCs w:val="19"/>
              </w:rPr>
              <w:t xml:space="preserve">Monitoring &amp; logging</w:t>
            </w:r>
          </w:p>
        </w:tc>
        <w:tc>
          <w:tcPr>
            <w:tcW w:type="dxa" w:w="4800"/>
            <w:shd w:fill="EAF1FB" w:color="auto" w:val="clear"/>
            <w:tcMar>
              <w:top w:type="dxa" w:w="80"/>
              <w:left w:type="dxa" w:w="120"/>
              <w:bottom w:type="dxa" w:w="80"/>
              <w:right w:type="dxa" w:w="120"/>
            </w:tcMar>
            <w:vAlign w:val="center"/>
          </w:tcPr>
          <w:p>
            <w:r>
              <w:rPr>
                <w:b w:val="false"/>
                <w:bCs w:val="false"/>
                <w:color w:val="000000"/>
                <w:sz w:val="19"/>
                <w:szCs w:val="19"/>
              </w:rPr>
              <w:t xml:space="preserve">Cloud Monitoring / Logging free tier</w:t>
            </w:r>
          </w:p>
        </w:tc>
        <w:tc>
          <w:tcPr>
            <w:tcW w:type="dxa" w:w="1600"/>
            <w:shd w:fill="EAF1FB" w:color="auto" w:val="clear"/>
            <w:tcMar>
              <w:top w:type="dxa" w:w="80"/>
              <w:left w:type="dxa" w:w="120"/>
              <w:bottom w:type="dxa" w:w="80"/>
              <w:right w:type="dxa" w:w="120"/>
            </w:tcMar>
            <w:vAlign w:val="center"/>
          </w:tcPr>
          <w:p>
            <w:r>
              <w:rPr>
                <w:b w:val="false"/>
                <w:bCs w:val="false"/>
                <w:color w:val="000000"/>
                <w:sz w:val="19"/>
                <w:szCs w:val="19"/>
              </w:rPr>
              <w:t xml:space="preserve">$0</w:t>
            </w:r>
          </w:p>
        </w:tc>
      </w:tr>
      <w:tr>
        <w:tc>
          <w:tcPr>
            <w:tcW w:type="dxa" w:w="2600"/>
            <w:shd w:fill="FFFFFF" w:color="auto" w:val="clear"/>
            <w:tcMar>
              <w:top w:type="dxa" w:w="80"/>
              <w:left w:type="dxa" w:w="120"/>
              <w:bottom w:type="dxa" w:w="80"/>
              <w:right w:type="dxa" w:w="120"/>
            </w:tcMar>
            <w:vAlign w:val="center"/>
          </w:tcPr>
          <w:p>
            <w:r>
              <w:rPr>
                <w:b w:val="false"/>
                <w:bCs w:val="false"/>
                <w:color w:val="000000"/>
                <w:sz w:val="19"/>
                <w:szCs w:val="19"/>
              </w:rPr>
              <w:t xml:space="preserve">Domain name</w:t>
            </w:r>
          </w:p>
        </w:tc>
        <w:tc>
          <w:tcPr>
            <w:tcW w:type="dxa" w:w="4800"/>
            <w:shd w:fill="FFFFFF" w:color="auto" w:val="clear"/>
            <w:tcMar>
              <w:top w:type="dxa" w:w="80"/>
              <w:left w:type="dxa" w:w="120"/>
              <w:bottom w:type="dxa" w:w="80"/>
              <w:right w:type="dxa" w:w="120"/>
            </w:tcMar>
            <w:vAlign w:val="center"/>
          </w:tcPr>
          <w:p>
            <w:r>
              <w:rPr>
                <w:b w:val="false"/>
                <w:bCs w:val="false"/>
                <w:color w:val="000000"/>
                <w:sz w:val="19"/>
                <w:szCs w:val="19"/>
              </w:rPr>
              <w:t xml:space="preserve">Not free — the one unavoidable line item</w:t>
            </w:r>
          </w:p>
        </w:tc>
        <w:tc>
          <w:tcPr>
            <w:tcW w:type="dxa" w:w="1600"/>
            <w:shd w:fill="FFFFFF" w:color="auto" w:val="clear"/>
            <w:tcMar>
              <w:top w:type="dxa" w:w="80"/>
              <w:left w:type="dxa" w:w="120"/>
              <w:bottom w:type="dxa" w:w="80"/>
              <w:right w:type="dxa" w:w="120"/>
            </w:tcMar>
            <w:vAlign w:val="center"/>
          </w:tcPr>
          <w:p>
            <w:r>
              <w:rPr>
                <w:b w:val="false"/>
                <w:bCs w:val="false"/>
                <w:color w:val="000000"/>
                <w:sz w:val="19"/>
                <w:szCs w:val="19"/>
              </w:rPr>
              <w:t xml:space="preserve">~$1.00</w:t>
            </w:r>
          </w:p>
        </w:tc>
      </w:tr>
      <w:tr>
        <w:tc>
          <w:tcPr>
            <w:tcW w:type="dxa" w:w="2600"/>
            <w:shd w:fill="D6E4F5" w:color="auto" w:val="clear"/>
            <w:tcMar>
              <w:top w:type="dxa" w:w="80"/>
              <w:left w:type="dxa" w:w="120"/>
              <w:bottom w:type="dxa" w:w="80"/>
              <w:right w:type="dxa" w:w="120"/>
            </w:tcMar>
            <w:vAlign w:val="center"/>
          </w:tcPr>
          <w:p>
            <w:r>
              <w:rPr>
                <w:b/>
                <w:bCs/>
                <w:color w:val="000000"/>
                <w:sz w:val="19"/>
                <w:szCs w:val="19"/>
              </w:rPr>
              <w:t xml:space="preserve">Total</w:t>
            </w:r>
          </w:p>
        </w:tc>
        <w:tc>
          <w:tcPr>
            <w:tcW w:type="dxa" w:w="4800"/>
            <w:shd w:fill="D6E4F5" w:color="auto" w:val="clear"/>
            <w:tcMar>
              <w:top w:type="dxa" w:w="80"/>
              <w:left w:type="dxa" w:w="120"/>
              <w:bottom w:type="dxa" w:w="80"/>
              <w:right w:type="dxa" w:w="120"/>
            </w:tcMar>
            <w:vAlign w:val="center"/>
          </w:tcPr>
          <w:p>
            <w:r>
              <w:rPr>
                <w:b/>
                <w:bCs/>
                <w:color w:val="000000"/>
                <w:sz w:val="19"/>
                <w:szCs w:val="19"/>
              </w:rPr>
              <w:t xml:space="preserve"/>
            </w:r>
          </w:p>
        </w:tc>
        <w:tc>
          <w:tcPr>
            <w:tcW w:type="dxa" w:w="1600"/>
            <w:shd w:fill="D6E4F5" w:color="auto" w:val="clear"/>
            <w:tcMar>
              <w:top w:type="dxa" w:w="80"/>
              <w:left w:type="dxa" w:w="120"/>
              <w:bottom w:type="dxa" w:w="80"/>
              <w:right w:type="dxa" w:w="120"/>
            </w:tcMar>
            <w:vAlign w:val="center"/>
          </w:tcPr>
          <w:p>
            <w:r>
              <w:rPr>
                <w:b/>
                <w:bCs/>
                <w:color w:val="000000"/>
                <w:sz w:val="19"/>
                <w:szCs w:val="19"/>
              </w:rPr>
              <w:t xml:space="preserve">≈ $1.50 / month</w:t>
            </w:r>
          </w:p>
        </w:tc>
      </w:tr>
    </w:tbl>
    <w:p>
      <w:pPr>
        <w:pBdr>
          <w:left w:val="single" w:color="B45309" w:sz="12" w:space="8"/>
        </w:pBdr>
        <w:shd w:fill="FEF3E2" w:color="auto" w:val="clear"/>
        <w:spacing w:after="200" w:before="100"/>
      </w:pPr>
      <w:r>
        <w:rPr>
          <w:b/>
          <w:bCs/>
          <w:color w:val="B45309"/>
          <w:sz w:val="20"/>
          <w:szCs w:val="20"/>
        </w:rPr>
        <w:t xml:space="preserve">Note: </w:t>
      </w:r>
      <w:r>
        <w:rPr>
          <w:color w:val="6B4A18"/>
          <w:sz w:val="20"/>
          <w:szCs w:val="20"/>
        </w:rPr>
        <w:t xml:space="preserve">this architecture has no automatic backups, no failover, and a single point of failure (one VM running everything). It is appropriate for validating the product with one real user, and should not be the basis for any reliability commitment made to a paying customer.</w:t>
      </w:r>
    </w:p>
    <w:p>
      <w:pPr>
        <w:pStyle w:val="Heading1"/>
        <w:spacing w:after="160" w:before="320"/>
      </w:pPr>
      <w:r>
        <w:t xml:space="preserve">4. Scenario B — Projected Cost at 50 Users</w:t>
      </w:r>
    </w:p>
    <w:p>
      <w:pPr>
        <w:spacing w:after="140"/>
      </w:pPr>
      <w:r>
        <w:t xml:space="preserve">At 50 properties, the pilot's cost-saving shortcuts become genuine reliability risks rather than acceptable trade-offs. This scenario replaces each one with the managed GCP equivalent, sized for real production usage, and estimates cost against 10,000 images/day of aggregate platform volume.</w:t>
      </w:r>
    </w:p>
    <w:p>
      <w:pPr>
        <w:pStyle w:val="Heading2"/>
        <w:spacing w:after="120" w:before="240"/>
      </w:pPr>
      <w:r>
        <w:t xml:space="preserve">4.1 Compute — API &amp; Background Workers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600"/>
      </w:tblGrid>
      <w:tr>
        <w:tc>
          <w:tcPr>
            <w:tcW w:type="dxa" w:w="2600"/>
            <w:shd w:fill="1F5FA6" w:color="auto" w:val="clear"/>
            <w:tcMar>
              <w:top w:type="dxa" w:w="80"/>
              <w:left w:type="dxa" w:w="120"/>
              <w:bottom w:type="dxa" w:w="80"/>
              <w:right w:type="dxa" w:w="120"/>
            </w:tcMar>
            <w:vAlign w:val="center"/>
          </w:tcPr>
          <w:p>
            <w:r>
              <w:rPr>
                <w:b/>
                <w:bCs/>
                <w:color w:val="FFFFFF"/>
                <w:sz w:val="19"/>
                <w:szCs w:val="19"/>
              </w:rPr>
              <w:t xml:space="preserve">Component</w:t>
            </w:r>
          </w:p>
        </w:tc>
        <w:tc>
          <w:tcPr>
            <w:tcW w:type="dxa" w:w="4800"/>
            <w:shd w:fill="1F5FA6" w:color="auto" w:val="clear"/>
            <w:tcMar>
              <w:top w:type="dxa" w:w="80"/>
              <w:left w:type="dxa" w:w="120"/>
              <w:bottom w:type="dxa" w:w="80"/>
              <w:right w:type="dxa" w:w="120"/>
            </w:tcMar>
            <w:vAlign w:val="center"/>
          </w:tcPr>
          <w:p>
            <w:r>
              <w:rPr>
                <w:b/>
                <w:bCs/>
                <w:color w:val="FFFFFF"/>
                <w:sz w:val="19"/>
                <w:szCs w:val="19"/>
              </w:rPr>
              <w:t xml:space="preserve">Sizing Basis</w:t>
            </w:r>
          </w:p>
        </w:tc>
        <w:tc>
          <w:tcPr>
            <w:tcW w:type="dxa" w:w="1600"/>
            <w:shd w:fill="1F5FA6" w:color="auto" w:val="clear"/>
            <w:tcMar>
              <w:top w:type="dxa" w:w="80"/>
              <w:left w:type="dxa" w:w="120"/>
              <w:bottom w:type="dxa" w:w="80"/>
              <w:right w:type="dxa" w:w="120"/>
            </w:tcMar>
            <w:vAlign w:val="center"/>
          </w:tcPr>
          <w:p>
            <w:r>
              <w:rPr>
                <w:b/>
                <w:bCs/>
                <w:color w:val="FFFFFF"/>
                <w:sz w:val="19"/>
                <w:szCs w:val="19"/>
              </w:rPr>
              <w:t xml:space="preserve">Monthly Cost</w:t>
            </w:r>
          </w:p>
        </w:tc>
      </w:tr>
      <w:tr>
        <w:tc>
          <w:tcPr>
            <w:tcW w:type="dxa" w:w="2600"/>
            <w:shd w:fill="FFFFFF" w:color="auto" w:val="clear"/>
            <w:tcMar>
              <w:top w:type="dxa" w:w="80"/>
              <w:left w:type="dxa" w:w="120"/>
              <w:bottom w:type="dxa" w:w="80"/>
              <w:right w:type="dxa" w:w="120"/>
            </w:tcMar>
            <w:vAlign w:val="center"/>
          </w:tcPr>
          <w:p>
            <w:r>
              <w:rPr>
                <w:b w:val="false"/>
                <w:bCs w:val="false"/>
                <w:color w:val="000000"/>
                <w:sz w:val="19"/>
                <w:szCs w:val="19"/>
              </w:rPr>
              <w:t xml:space="preserve">FastAPI API (Cloud Run, request-based billing)</w:t>
            </w:r>
          </w:p>
        </w:tc>
        <w:tc>
          <w:tcPr>
            <w:tcW w:type="dxa" w:w="4800"/>
            <w:shd w:fill="FFFFFF" w:color="auto" w:val="clear"/>
            <w:tcMar>
              <w:top w:type="dxa" w:w="80"/>
              <w:left w:type="dxa" w:w="120"/>
              <w:bottom w:type="dxa" w:w="80"/>
              <w:right w:type="dxa" w:w="120"/>
            </w:tcMar>
            <w:vAlign w:val="center"/>
          </w:tcPr>
          <w:p>
            <w:r>
              <w:rPr>
                <w:b w:val="false"/>
                <w:bCs w:val="false"/>
                <w:color w:val="000000"/>
                <w:sz w:val="19"/>
                <w:szCs w:val="19"/>
              </w:rPr>
              <w:t xml:space="preserve">Scales to zero between requests; 50 users' combined API traffic estimated well under the 2M free requests/month, with modest compute beyond the free tier</w:t>
            </w:r>
          </w:p>
        </w:tc>
        <w:tc>
          <w:tcPr>
            <w:tcW w:type="dxa" w:w="1600"/>
            <w:shd w:fill="FFFFFF" w:color="auto" w:val="clear"/>
            <w:tcMar>
              <w:top w:type="dxa" w:w="80"/>
              <w:left w:type="dxa" w:w="120"/>
              <w:bottom w:type="dxa" w:w="80"/>
              <w:right w:type="dxa" w:w="120"/>
            </w:tcMar>
            <w:vAlign w:val="center"/>
          </w:tcPr>
          <w:p>
            <w:r>
              <w:rPr>
                <w:b w:val="false"/>
                <w:bCs w:val="false"/>
                <w:color w:val="000000"/>
                <w:sz w:val="19"/>
                <w:szCs w:val="19"/>
              </w:rPr>
              <w:t xml:space="preserve">~$15</w:t>
            </w:r>
          </w:p>
        </w:tc>
      </w:tr>
      <w:tr>
        <w:tc>
          <w:tcPr>
            <w:tcW w:type="dxa" w:w="2600"/>
            <w:shd w:fill="EAF1FB" w:color="auto" w:val="clear"/>
            <w:tcMar>
              <w:top w:type="dxa" w:w="80"/>
              <w:left w:type="dxa" w:w="120"/>
              <w:bottom w:type="dxa" w:w="80"/>
              <w:right w:type="dxa" w:w="120"/>
            </w:tcMar>
            <w:vAlign w:val="center"/>
          </w:tcPr>
          <w:p>
            <w:r>
              <w:rPr>
                <w:b w:val="false"/>
                <w:bCs w:val="false"/>
                <w:color w:val="000000"/>
                <w:sz w:val="19"/>
                <w:szCs w:val="19"/>
              </w:rPr>
              <w:t xml:space="preserve">Celery workers (Cloud Run, always-allocated)</w:t>
            </w:r>
          </w:p>
        </w:tc>
        <w:tc>
          <w:tcPr>
            <w:tcW w:type="dxa" w:w="4800"/>
            <w:shd w:fill="EAF1FB" w:color="auto" w:val="clear"/>
            <w:tcMar>
              <w:top w:type="dxa" w:w="80"/>
              <w:left w:type="dxa" w:w="120"/>
              <w:bottom w:type="dxa" w:w="80"/>
              <w:right w:type="dxa" w:w="120"/>
            </w:tcMar>
            <w:vAlign w:val="center"/>
          </w:tcPr>
          <w:p>
            <w:r>
              <w:rPr>
                <w:b w:val="false"/>
                <w:bCs w:val="false"/>
                <w:color w:val="000000"/>
                <w:sz w:val="19"/>
                <w:szCs w:val="19"/>
              </w:rPr>
              <w:t xml:space="preserve">Baseline 2 instances always on (0.5 vCPU / 512 MB each) to absorb burst submissions from overlapping property checkout windows, autoscaling briefly higher during peak load</w:t>
            </w:r>
          </w:p>
        </w:tc>
        <w:tc>
          <w:tcPr>
            <w:tcW w:type="dxa" w:w="1600"/>
            <w:shd w:fill="EAF1FB" w:color="auto" w:val="clear"/>
            <w:tcMar>
              <w:top w:type="dxa" w:w="80"/>
              <w:left w:type="dxa" w:w="120"/>
              <w:bottom w:type="dxa" w:w="80"/>
              <w:right w:type="dxa" w:w="120"/>
            </w:tcMar>
            <w:vAlign w:val="center"/>
          </w:tcPr>
          <w:p>
            <w:r>
              <w:rPr>
                <w:b w:val="false"/>
                <w:bCs w:val="false"/>
                <w:color w:val="000000"/>
                <w:sz w:val="19"/>
                <w:szCs w:val="19"/>
              </w:rPr>
              <w:t xml:space="preserve">~$55</w:t>
            </w:r>
          </w:p>
        </w:tc>
      </w:tr>
      <w:tr>
        <w:tc>
          <w:tcPr>
            <w:tcW w:type="dxa" w:w="2600"/>
            <w:shd w:fill="FFFFFF" w:color="auto" w:val="clear"/>
            <w:tcMar>
              <w:top w:type="dxa" w:w="80"/>
              <w:left w:type="dxa" w:w="120"/>
              <w:bottom w:type="dxa" w:w="80"/>
              <w:right w:type="dxa" w:w="120"/>
            </w:tcMar>
            <w:vAlign w:val="center"/>
          </w:tcPr>
          <w:p>
            <w:r>
              <w:rPr>
                <w:b w:val="false"/>
                <w:bCs w:val="false"/>
                <w:color w:val="000000"/>
                <w:sz w:val="19"/>
                <w:szCs w:val="19"/>
              </w:rPr>
              <w:t xml:space="preserve">Cron (Cloud Scheduler + Cloud Run Job)</w:t>
            </w:r>
          </w:p>
        </w:tc>
        <w:tc>
          <w:tcPr>
            <w:tcW w:type="dxa" w:w="4800"/>
            <w:shd w:fill="FFFFFF" w:color="auto" w:val="clear"/>
            <w:tcMar>
              <w:top w:type="dxa" w:w="80"/>
              <w:left w:type="dxa" w:w="120"/>
              <w:bottom w:type="dxa" w:w="80"/>
              <w:right w:type="dxa" w:w="120"/>
            </w:tcMar>
            <w:vAlign w:val="center"/>
          </w:tcPr>
          <w:p>
            <w:r>
              <w:rPr>
                <w:b w:val="false"/>
                <w:bCs w:val="false"/>
                <w:color w:val="000000"/>
                <w:sz w:val="19"/>
                <w:szCs w:val="19"/>
              </w:rPr>
              <w:t xml:space="preserve">One scheduled overdue-inspection check per minute; cost is independent of image volume</w:t>
            </w:r>
          </w:p>
        </w:tc>
        <w:tc>
          <w:tcPr>
            <w:tcW w:type="dxa" w:w="1600"/>
            <w:shd w:fill="FFFFFF" w:color="auto" w:val="clear"/>
            <w:tcMar>
              <w:top w:type="dxa" w:w="80"/>
              <w:left w:type="dxa" w:w="120"/>
              <w:bottom w:type="dxa" w:w="80"/>
              <w:right w:type="dxa" w:w="120"/>
            </w:tcMar>
            <w:vAlign w:val="center"/>
          </w:tcPr>
          <w:p>
            <w:r>
              <w:rPr>
                <w:b w:val="false"/>
                <w:bCs w:val="false"/>
                <w:color w:val="000000"/>
                <w:sz w:val="19"/>
                <w:szCs w:val="19"/>
              </w:rPr>
              <w:t xml:space="preserve">~$1</w:t>
            </w:r>
          </w:p>
        </w:tc>
      </w:tr>
    </w:tbl>
    <w:p>
      <w:pPr>
        <w:spacing w:after="200"/>
      </w:pPr>
      <w:r>
        <w:rPr>
          <w:i/>
          <w:iCs/>
          <w:color w:val="6B7280"/>
          <w:sz w:val="18"/>
          <w:szCs w:val="18"/>
        </w:rPr>
        <w:t xml:space="preserve">Table — Compute subtotal: approximately $71/month.</w:t>
      </w:r>
    </w:p>
    <w:p>
      <w:pPr>
        <w:pStyle w:val="Heading2"/>
        <w:spacing w:after="120" w:before="240"/>
      </w:pPr>
      <w:r>
        <w:t xml:space="preserve">4.2 Database — PostgreSQL (Cloud SQL)</w:t>
      </w:r>
    </w:p>
    <w:p>
      <w:pPr>
        <w:spacing w:after="140"/>
      </w:pPr>
      <w:r>
        <w:t xml:space="preserve">Two options are presented, since this is the highest-judgment cost decision in the whole report.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200"/>
      </w:tblGrid>
      <w:tr>
        <w:tc>
          <w:tcPr>
            <w:tcW w:type="dxa" w:w="2600"/>
            <w:shd w:fill="1F5FA6" w:color="auto" w:val="clear"/>
            <w:tcMar>
              <w:top w:type="dxa" w:w="80"/>
              <w:left w:type="dxa" w:w="120"/>
              <w:bottom w:type="dxa" w:w="80"/>
              <w:right w:type="dxa" w:w="120"/>
            </w:tcMar>
            <w:vAlign w:val="center"/>
          </w:tcPr>
          <w:p>
            <w:r>
              <w:rPr>
                <w:b/>
                <w:bCs/>
                <w:color w:val="FFFFFF"/>
                <w:sz w:val="19"/>
                <w:szCs w:val="19"/>
              </w:rPr>
              <w:t xml:space="preserve">Configuration</w:t>
            </w:r>
          </w:p>
        </w:tc>
        <w:tc>
          <w:tcPr>
            <w:tcW w:type="dxa" w:w="3400"/>
            <w:shd w:fill="1F5FA6" w:color="auto" w:val="clear"/>
            <w:tcMar>
              <w:top w:type="dxa" w:w="80"/>
              <w:left w:type="dxa" w:w="120"/>
              <w:bottom w:type="dxa" w:w="80"/>
              <w:right w:type="dxa" w:w="120"/>
            </w:tcMar>
            <w:vAlign w:val="center"/>
          </w:tcPr>
          <w:p>
            <w:r>
              <w:rPr>
                <w:b/>
                <w:bCs/>
                <w:color w:val="FFFFFF"/>
                <w:sz w:val="19"/>
                <w:szCs w:val="19"/>
              </w:rPr>
              <w:t xml:space="preserve">What You Get</w:t>
            </w:r>
          </w:p>
        </w:tc>
        <w:tc>
          <w:tcPr>
            <w:tcW w:type="dxa" w:w="2200"/>
            <w:shd w:fill="1F5FA6" w:color="auto" w:val="clear"/>
            <w:tcMar>
              <w:top w:type="dxa" w:w="80"/>
              <w:left w:type="dxa" w:w="120"/>
              <w:bottom w:type="dxa" w:w="80"/>
              <w:right w:type="dxa" w:w="120"/>
            </w:tcMar>
            <w:vAlign w:val="center"/>
          </w:tcPr>
          <w:p>
            <w:r>
              <w:rPr>
                <w:b/>
                <w:bCs/>
                <w:color w:val="FFFFFF"/>
                <w:sz w:val="19"/>
                <w:szCs w:val="19"/>
              </w:rPr>
              <w:t xml:space="preserve">Monthly Cost</w:t>
            </w:r>
          </w:p>
        </w:tc>
      </w:tr>
      <w:tr>
        <w:tc>
          <w:tcPr>
            <w:tcW w:type="dxa" w:w="2600"/>
            <w:shd w:fill="FFFFFF" w:color="auto" w:val="clear"/>
            <w:tcMar>
              <w:top w:type="dxa" w:w="80"/>
              <w:left w:type="dxa" w:w="120"/>
              <w:bottom w:type="dxa" w:w="80"/>
              <w:right w:type="dxa" w:w="120"/>
            </w:tcMar>
            <w:vAlign w:val="center"/>
          </w:tcPr>
          <w:p>
            <w:r>
              <w:rPr>
                <w:b w:val="false"/>
                <w:bCs w:val="false"/>
                <w:color w:val="000000"/>
                <w:sz w:val="19"/>
                <w:szCs w:val="19"/>
              </w:rPr>
              <w:t xml:space="preserve">Lean (zonal, no HA, no replica)</w:t>
            </w:r>
          </w:p>
        </w:tc>
        <w:tc>
          <w:tcPr>
            <w:tcW w:type="dxa" w:w="3400"/>
            <w:shd w:fill="FFFFFF" w:color="auto" w:val="clear"/>
            <w:tcMar>
              <w:top w:type="dxa" w:w="80"/>
              <w:left w:type="dxa" w:w="120"/>
              <w:bottom w:type="dxa" w:w="80"/>
              <w:right w:type="dxa" w:w="120"/>
            </w:tcMar>
            <w:vAlign w:val="center"/>
          </w:tcPr>
          <w:p>
            <w:r>
              <w:rPr>
                <w:b w:val="false"/>
                <w:bCs w:val="false"/>
                <w:color w:val="000000"/>
                <w:sz w:val="19"/>
                <w:szCs w:val="19"/>
              </w:rPr>
              <w:t xml:space="preserve">Single instance, no automatic failover — acceptable only if brief downtime during a database incident is tolerable</w:t>
            </w:r>
          </w:p>
        </w:tc>
        <w:tc>
          <w:tcPr>
            <w:tcW w:type="dxa" w:w="2200"/>
            <w:shd w:fill="FFFFFF" w:color="auto" w:val="clear"/>
            <w:tcMar>
              <w:top w:type="dxa" w:w="80"/>
              <w:left w:type="dxa" w:w="120"/>
              <w:bottom w:type="dxa" w:w="80"/>
              <w:right w:type="dxa" w:w="120"/>
            </w:tcMar>
            <w:vAlign w:val="center"/>
          </w:tcPr>
          <w:p>
            <w:r>
              <w:rPr>
                <w:b w:val="false"/>
                <w:bCs w:val="false"/>
                <w:color w:val="000000"/>
                <w:sz w:val="19"/>
                <w:szCs w:val="19"/>
              </w:rPr>
              <w:t xml:space="preserve">~$52</w:t>
            </w:r>
          </w:p>
        </w:tc>
      </w:tr>
      <w:tr>
        <w:tc>
          <w:tcPr>
            <w:tcW w:type="dxa" w:w="2600"/>
            <w:shd w:fill="EAF1FB" w:color="auto" w:val="clear"/>
            <w:tcMar>
              <w:top w:type="dxa" w:w="80"/>
              <w:left w:type="dxa" w:w="120"/>
              <w:bottom w:type="dxa" w:w="80"/>
              <w:right w:type="dxa" w:w="120"/>
            </w:tcMar>
            <w:vAlign w:val="center"/>
          </w:tcPr>
          <w:p>
            <w:r>
              <w:rPr>
                <w:b w:val="false"/>
                <w:bCs w:val="false"/>
                <w:color w:val="000000"/>
                <w:sz w:val="19"/>
                <w:szCs w:val="19"/>
              </w:rPr>
              <w:t xml:space="preserve">Recommended (HA standby + 1 read replica)</w:t>
            </w:r>
          </w:p>
        </w:tc>
        <w:tc>
          <w:tcPr>
            <w:tcW w:type="dxa" w:w="3400"/>
            <w:shd w:fill="EAF1FB" w:color="auto" w:val="clear"/>
            <w:tcMar>
              <w:top w:type="dxa" w:w="80"/>
              <w:left w:type="dxa" w:w="120"/>
              <w:bottom w:type="dxa" w:w="80"/>
              <w:right w:type="dxa" w:w="120"/>
            </w:tcMar>
            <w:vAlign w:val="center"/>
          </w:tcPr>
          <w:p>
            <w:r>
              <w:rPr>
                <w:b w:val="false"/>
                <w:bCs w:val="false"/>
                <w:color w:val="000000"/>
                <w:sz w:val="19"/>
                <w:szCs w:val="19"/>
              </w:rPr>
              <w:t xml:space="preserve">Automatic failover if the primary fails, plus a replica dedicated to dashboard/reporting queries so they never compete with live writes</w:t>
            </w:r>
          </w:p>
        </w:tc>
        <w:tc>
          <w:tcPr>
            <w:tcW w:type="dxa" w:w="2200"/>
            <w:shd w:fill="EAF1FB" w:color="auto" w:val="clear"/>
            <w:tcMar>
              <w:top w:type="dxa" w:w="80"/>
              <w:left w:type="dxa" w:w="120"/>
              <w:bottom w:type="dxa" w:w="80"/>
              <w:right w:type="dxa" w:w="120"/>
            </w:tcMar>
            <w:vAlign w:val="center"/>
          </w:tcPr>
          <w:p>
            <w:r>
              <w:rPr>
                <w:b w:val="false"/>
                <w:bCs w:val="false"/>
                <w:color w:val="000000"/>
                <w:sz w:val="19"/>
                <w:szCs w:val="19"/>
              </w:rPr>
              <w:t xml:space="preserve">~$158</w:t>
            </w:r>
          </w:p>
        </w:tc>
      </w:tr>
    </w:tbl>
    <w:p>
      <w:pPr>
        <w:pBdr>
          <w:left w:val="single" w:color="B45309" w:sz="12" w:space="8"/>
        </w:pBdr>
        <w:shd w:fill="FEF3E2" w:color="auto" w:val="clear"/>
        <w:spacing w:after="200" w:before="100"/>
      </w:pPr>
      <w:r>
        <w:rPr>
          <w:b/>
          <w:bCs/>
          <w:color w:val="B45309"/>
          <w:sz w:val="20"/>
          <w:szCs w:val="20"/>
        </w:rPr>
        <w:t xml:space="preserve">Note: </w:t>
      </w:r>
      <w:r>
        <w:rPr>
          <w:color w:val="6B4A18"/>
          <w:sz w:val="20"/>
          <w:szCs w:val="20"/>
        </w:rPr>
        <w:t xml:space="preserve">with 50 real paying customers, the Recommended configuration is the responsible default. The Lean option should only be a deliberate, temporary cost-saving choice — not the permanent setup — once customers are depending on the platform daily.</w:t>
      </w:r>
    </w:p>
    <w:p>
      <w:pPr>
        <w:pStyle w:val="Heading2"/>
        <w:spacing w:after="120" w:before="240"/>
      </w:pPr>
      <w:r>
        <w:t xml:space="preserve">4.3 Cache / Queue — Redis (Memorystore)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200"/>
      </w:tblGrid>
      <w:tr>
        <w:tc>
          <w:tcPr>
            <w:tcW w:type="dxa" w:w="2600"/>
            <w:shd w:fill="1F5FA6" w:color="auto" w:val="clear"/>
            <w:tcMar>
              <w:top w:type="dxa" w:w="80"/>
              <w:left w:type="dxa" w:w="120"/>
              <w:bottom w:type="dxa" w:w="80"/>
              <w:right w:type="dxa" w:w="120"/>
            </w:tcMar>
            <w:vAlign w:val="center"/>
          </w:tcPr>
          <w:p>
            <w:r>
              <w:rPr>
                <w:b/>
                <w:bCs/>
                <w:color w:val="FFFFFF"/>
                <w:sz w:val="19"/>
                <w:szCs w:val="19"/>
              </w:rPr>
              <w:t xml:space="preserve">Configuration</w:t>
            </w:r>
          </w:p>
        </w:tc>
        <w:tc>
          <w:tcPr>
            <w:tcW w:type="dxa" w:w="3400"/>
            <w:shd w:fill="1F5FA6" w:color="auto" w:val="clear"/>
            <w:tcMar>
              <w:top w:type="dxa" w:w="80"/>
              <w:left w:type="dxa" w:w="120"/>
              <w:bottom w:type="dxa" w:w="80"/>
              <w:right w:type="dxa" w:w="120"/>
            </w:tcMar>
            <w:vAlign w:val="center"/>
          </w:tcPr>
          <w:p>
            <w:r>
              <w:rPr>
                <w:b/>
                <w:bCs/>
                <w:color w:val="FFFFFF"/>
                <w:sz w:val="19"/>
                <w:szCs w:val="19"/>
              </w:rPr>
              <w:t xml:space="preserve">What You Get</w:t>
            </w:r>
          </w:p>
        </w:tc>
        <w:tc>
          <w:tcPr>
            <w:tcW w:type="dxa" w:w="2200"/>
            <w:shd w:fill="1F5FA6" w:color="auto" w:val="clear"/>
            <w:tcMar>
              <w:top w:type="dxa" w:w="80"/>
              <w:left w:type="dxa" w:w="120"/>
              <w:bottom w:type="dxa" w:w="80"/>
              <w:right w:type="dxa" w:w="120"/>
            </w:tcMar>
            <w:vAlign w:val="center"/>
          </w:tcPr>
          <w:p>
            <w:r>
              <w:rPr>
                <w:b/>
                <w:bCs/>
                <w:color w:val="FFFFFF"/>
                <w:sz w:val="19"/>
                <w:szCs w:val="19"/>
              </w:rPr>
              <w:t xml:space="preserve">Monthly Cost</w:t>
            </w:r>
          </w:p>
        </w:tc>
      </w:tr>
      <w:tr>
        <w:tc>
          <w:tcPr>
            <w:tcW w:type="dxa" w:w="2600"/>
            <w:shd w:fill="FFFFFF" w:color="auto" w:val="clear"/>
            <w:tcMar>
              <w:top w:type="dxa" w:w="80"/>
              <w:left w:type="dxa" w:w="120"/>
              <w:bottom w:type="dxa" w:w="80"/>
              <w:right w:type="dxa" w:w="120"/>
            </w:tcMar>
            <w:vAlign w:val="center"/>
          </w:tcPr>
          <w:p>
            <w:r>
              <w:rPr>
                <w:b w:val="false"/>
                <w:bCs w:val="false"/>
                <w:color w:val="000000"/>
                <w:sz w:val="19"/>
                <w:szCs w:val="19"/>
              </w:rPr>
              <w:t xml:space="preserve">Basic tier (1 GB)</w:t>
            </w:r>
          </w:p>
        </w:tc>
        <w:tc>
          <w:tcPr>
            <w:tcW w:type="dxa" w:w="3400"/>
            <w:shd w:fill="FFFFFF" w:color="auto" w:val="clear"/>
            <w:tcMar>
              <w:top w:type="dxa" w:w="80"/>
              <w:left w:type="dxa" w:w="120"/>
              <w:bottom w:type="dxa" w:w="80"/>
              <w:right w:type="dxa" w:w="120"/>
            </w:tcMar>
            <w:vAlign w:val="center"/>
          </w:tcPr>
          <w:p>
            <w:r>
              <w:rPr>
                <w:b w:val="false"/>
                <w:bCs w:val="false"/>
                <w:color w:val="000000"/>
                <w:sz w:val="19"/>
                <w:szCs w:val="19"/>
              </w:rPr>
              <w:t xml:space="preserve">No replication, no automatic failover</w:t>
            </w:r>
          </w:p>
        </w:tc>
        <w:tc>
          <w:tcPr>
            <w:tcW w:type="dxa" w:w="2200"/>
            <w:shd w:fill="FFFFFF" w:color="auto" w:val="clear"/>
            <w:tcMar>
              <w:top w:type="dxa" w:w="80"/>
              <w:left w:type="dxa" w:w="120"/>
              <w:bottom w:type="dxa" w:w="80"/>
              <w:right w:type="dxa" w:w="120"/>
            </w:tcMar>
            <w:vAlign w:val="center"/>
          </w:tcPr>
          <w:p>
            <w:r>
              <w:rPr>
                <w:b w:val="false"/>
                <w:bCs w:val="false"/>
                <w:color w:val="000000"/>
                <w:sz w:val="19"/>
                <w:szCs w:val="19"/>
              </w:rPr>
              <w:t xml:space="preserve">~$36</w:t>
            </w:r>
          </w:p>
        </w:tc>
      </w:tr>
      <w:tr>
        <w:tc>
          <w:tcPr>
            <w:tcW w:type="dxa" w:w="2600"/>
            <w:shd w:fill="EAF1FB" w:color="auto" w:val="clear"/>
            <w:tcMar>
              <w:top w:type="dxa" w:w="80"/>
              <w:left w:type="dxa" w:w="120"/>
              <w:bottom w:type="dxa" w:w="80"/>
              <w:right w:type="dxa" w:w="120"/>
            </w:tcMar>
            <w:vAlign w:val="center"/>
          </w:tcPr>
          <w:p>
            <w:r>
              <w:rPr>
                <w:b w:val="false"/>
                <w:bCs w:val="false"/>
                <w:color w:val="000000"/>
                <w:sz w:val="19"/>
                <w:szCs w:val="19"/>
              </w:rPr>
              <w:t xml:space="preserve">Standard tier (1 GB)</w:t>
            </w:r>
          </w:p>
        </w:tc>
        <w:tc>
          <w:tcPr>
            <w:tcW w:type="dxa" w:w="3400"/>
            <w:shd w:fill="EAF1FB" w:color="auto" w:val="clear"/>
            <w:tcMar>
              <w:top w:type="dxa" w:w="80"/>
              <w:left w:type="dxa" w:w="120"/>
              <w:bottom w:type="dxa" w:w="80"/>
              <w:right w:type="dxa" w:w="120"/>
            </w:tcMar>
            <w:vAlign w:val="center"/>
          </w:tcPr>
          <w:p>
            <w:r>
              <w:rPr>
                <w:b w:val="false"/>
                <w:bCs w:val="false"/>
                <w:color w:val="000000"/>
                <w:sz w:val="19"/>
                <w:szCs w:val="19"/>
              </w:rPr>
              <w:t xml:space="preserve">Adds replication and automatic failover</w:t>
            </w:r>
          </w:p>
        </w:tc>
        <w:tc>
          <w:tcPr>
            <w:tcW w:type="dxa" w:w="2200"/>
            <w:shd w:fill="EAF1FB" w:color="auto" w:val="clear"/>
            <w:tcMar>
              <w:top w:type="dxa" w:w="80"/>
              <w:left w:type="dxa" w:w="120"/>
              <w:bottom w:type="dxa" w:w="80"/>
              <w:right w:type="dxa" w:w="120"/>
            </w:tcMar>
            <w:vAlign w:val="center"/>
          </w:tcPr>
          <w:p>
            <w:r>
              <w:rPr>
                <w:b w:val="false"/>
                <w:bCs w:val="false"/>
                <w:color w:val="000000"/>
                <w:sz w:val="19"/>
                <w:szCs w:val="19"/>
              </w:rPr>
              <w:t xml:space="preserve">~$47</w:t>
            </w:r>
          </w:p>
        </w:tc>
      </w:tr>
    </w:tbl>
    <w:p>
      <w:pPr>
        <w:pStyle w:val="Heading2"/>
        <w:spacing w:after="120" w:before="240"/>
      </w:pPr>
      <w:r>
        <w:t xml:space="preserve">4.4 Object Storage — Photos</w:t>
      </w:r>
    </w:p>
    <w:p>
      <w:pPr>
        <w:spacing w:after="140"/>
      </w:pPr>
      <w:r>
        <w:t xml:space="preserve">At 10,000 images/day (~5 MB average), roughly 49 GB/day of new photos are captured. Cost grows over the platform's first year as data ages into cheaper storage tiers (Standard → Nearline → Coldline → Archive), then grows slowly thereafter.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000"/>
      </w:tblGrid>
      <w:tr>
        <w:tc>
          <w:tcPr>
            <w:tcW w:type="dxa" w:w="3400"/>
            <w:shd w:fill="1F5FA6" w:color="auto" w:val="clear"/>
            <w:tcMar>
              <w:top w:type="dxa" w:w="80"/>
              <w:left w:type="dxa" w:w="120"/>
              <w:bottom w:type="dxa" w:w="80"/>
              <w:right w:type="dxa" w:w="120"/>
            </w:tcMar>
            <w:vAlign w:val="center"/>
          </w:tcPr>
          <w:p>
            <w:r>
              <w:rPr>
                <w:b/>
                <w:bCs/>
                <w:color w:val="FFFFFF"/>
                <w:sz w:val="19"/>
                <w:szCs w:val="19"/>
              </w:rPr>
              <w:t xml:space="preserve">Point in Time</w:t>
            </w:r>
          </w:p>
        </w:tc>
        <w:tc>
          <w:tcPr>
            <w:tcW w:type="dxa" w:w="2800"/>
            <w:shd w:fill="1F5FA6" w:color="auto" w:val="clear"/>
            <w:tcMar>
              <w:top w:type="dxa" w:w="80"/>
              <w:left w:type="dxa" w:w="120"/>
              <w:bottom w:type="dxa" w:w="80"/>
              <w:right w:type="dxa" w:w="120"/>
            </w:tcMar>
            <w:vAlign w:val="center"/>
          </w:tcPr>
          <w:p>
            <w:r>
              <w:rPr>
                <w:b/>
                <w:bCs/>
                <w:color w:val="FFFFFF"/>
                <w:sz w:val="19"/>
                <w:szCs w:val="19"/>
              </w:rPr>
              <w:t xml:space="preserve">Storage State</w:t>
            </w:r>
          </w:p>
        </w:tc>
        <w:tc>
          <w:tcPr>
            <w:tcW w:type="dxa" w:w="2000"/>
            <w:shd w:fill="1F5FA6" w:color="auto" w:val="clear"/>
            <w:tcMar>
              <w:top w:type="dxa" w:w="80"/>
              <w:left w:type="dxa" w:w="120"/>
              <w:bottom w:type="dxa" w:w="80"/>
              <w:right w:type="dxa" w:w="120"/>
            </w:tcMar>
            <w:vAlign w:val="center"/>
          </w:tcPr>
          <w:p>
            <w:r>
              <w:rPr>
                <w:b/>
                <w:bCs/>
                <w:color w:val="FFFFFF"/>
                <w:sz w:val="19"/>
                <w:szCs w:val="19"/>
              </w:rPr>
              <w:t xml:space="preserve">Monthly Cost</w:t>
            </w:r>
          </w:p>
        </w:tc>
      </w:tr>
      <w:tr>
        <w:tc>
          <w:tcPr>
            <w:tcW w:type="dxa" w:w="3400"/>
            <w:shd w:fill="FFFFFF" w:color="auto" w:val="clear"/>
            <w:tcMar>
              <w:top w:type="dxa" w:w="80"/>
              <w:left w:type="dxa" w:w="120"/>
              <w:bottom w:type="dxa" w:w="80"/>
              <w:right w:type="dxa" w:w="120"/>
            </w:tcMar>
            <w:vAlign w:val="center"/>
          </w:tcPr>
          <w:p>
            <w:r>
              <w:rPr>
                <w:b w:val="false"/>
                <w:bCs w:val="false"/>
                <w:color w:val="000000"/>
                <w:sz w:val="19"/>
                <w:szCs w:val="19"/>
              </w:rPr>
              <w:t xml:space="preserve">Month 1</w:t>
            </w:r>
          </w:p>
        </w:tc>
        <w:tc>
          <w:tcPr>
            <w:tcW w:type="dxa" w:w="2800"/>
            <w:shd w:fill="FFFFFF" w:color="auto" w:val="clear"/>
            <w:tcMar>
              <w:top w:type="dxa" w:w="80"/>
              <w:left w:type="dxa" w:w="120"/>
              <w:bottom w:type="dxa" w:w="80"/>
              <w:right w:type="dxa" w:w="120"/>
            </w:tcMar>
            <w:vAlign w:val="center"/>
          </w:tcPr>
          <w:p>
            <w:r>
              <w:rPr>
                <w:b w:val="false"/>
                <w:bCs w:val="false"/>
                <w:color w:val="000000"/>
                <w:sz w:val="19"/>
                <w:szCs w:val="19"/>
              </w:rPr>
              <w:t xml:space="preserve">All recent data still in Standard tier</w:t>
            </w:r>
          </w:p>
        </w:tc>
        <w:tc>
          <w:tcPr>
            <w:tcW w:type="dxa" w:w="2000"/>
            <w:shd w:fill="FFFFFF" w:color="auto" w:val="clear"/>
            <w:tcMar>
              <w:top w:type="dxa" w:w="80"/>
              <w:left w:type="dxa" w:w="120"/>
              <w:bottom w:type="dxa" w:w="80"/>
              <w:right w:type="dxa" w:w="120"/>
            </w:tcMar>
            <w:vAlign w:val="center"/>
          </w:tcPr>
          <w:p>
            <w:r>
              <w:rPr>
                <w:b w:val="false"/>
                <w:bCs w:val="false"/>
                <w:color w:val="000000"/>
                <w:sz w:val="19"/>
                <w:szCs w:val="19"/>
              </w:rPr>
              <w:t xml:space="preserve">~$29</w:t>
            </w:r>
          </w:p>
        </w:tc>
      </w:tr>
      <w:tr>
        <w:tc>
          <w:tcPr>
            <w:tcW w:type="dxa" w:w="3400"/>
            <w:shd w:fill="EAF1FB" w:color="auto" w:val="clear"/>
            <w:tcMar>
              <w:top w:type="dxa" w:w="80"/>
              <w:left w:type="dxa" w:w="120"/>
              <w:bottom w:type="dxa" w:w="80"/>
              <w:right w:type="dxa" w:w="120"/>
            </w:tcMar>
            <w:vAlign w:val="center"/>
          </w:tcPr>
          <w:p>
            <w:r>
              <w:rPr>
                <w:b w:val="false"/>
                <w:bCs w:val="false"/>
                <w:color w:val="000000"/>
                <w:sz w:val="19"/>
                <w:szCs w:val="19"/>
              </w:rPr>
              <w:t xml:space="preserve">Steady state (12+ months, full lifecycle tiering active)</w:t>
            </w:r>
          </w:p>
        </w:tc>
        <w:tc>
          <w:tcPr>
            <w:tcW w:type="dxa" w:w="2800"/>
            <w:shd w:fill="EAF1FB" w:color="auto" w:val="clear"/>
            <w:tcMar>
              <w:top w:type="dxa" w:w="80"/>
              <w:left w:type="dxa" w:w="120"/>
              <w:bottom w:type="dxa" w:w="80"/>
              <w:right w:type="dxa" w:w="120"/>
            </w:tcMar>
            <w:vAlign w:val="center"/>
          </w:tcPr>
          <w:p>
            <w:r>
              <w:rPr>
                <w:b w:val="false"/>
                <w:bCs w:val="false"/>
                <w:color w:val="000000"/>
                <w:sz w:val="19"/>
                <w:szCs w:val="19"/>
              </w:rPr>
              <w:t xml:space="preserve">Recent data in Standard/Nearline, older data automatically moved to Coldline and Archive</w:t>
            </w:r>
          </w:p>
        </w:tc>
        <w:tc>
          <w:tcPr>
            <w:tcW w:type="dxa" w:w="2000"/>
            <w:shd w:fill="EAF1FB" w:color="auto" w:val="clear"/>
            <w:tcMar>
              <w:top w:type="dxa" w:w="80"/>
              <w:left w:type="dxa" w:w="120"/>
              <w:bottom w:type="dxa" w:w="80"/>
              <w:right w:type="dxa" w:w="120"/>
            </w:tcMar>
            <w:vAlign w:val="center"/>
          </w:tcPr>
          <w:p>
            <w:r>
              <w:rPr>
                <w:b w:val="false"/>
                <w:bCs w:val="false"/>
                <w:color w:val="000000"/>
                <w:sz w:val="19"/>
                <w:szCs w:val="19"/>
              </w:rPr>
              <w:t xml:space="preserve">~$134, growing by roughly $21/month for each additional year of retained history</w:t>
            </w:r>
          </w:p>
        </w:tc>
      </w:tr>
    </w:tbl>
    <w:p>
      <w:pPr>
        <w:pStyle w:val="Heading2"/>
        <w:spacing w:after="120" w:before="240"/>
      </w:pPr>
      <w:r>
        <w:t xml:space="preserve">4.5 AI Evaluation Pipeline (Vision API Calls)</w:t>
      </w:r>
    </w:p>
    <w:p>
      <w:pPr>
        <w:spacing w:after="140"/>
      </w:pPr>
      <w:r>
        <w:t xml:space="preserve">This is the platform's largest and most usage-sensitive cost line. At 10,000 evaluations/day, the free developer tier no longer applies — this volume requires paid API usage.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tblGrid>
      <w:tr>
        <w:tc>
          <w:tcPr>
            <w:tcW w:type="dxa" w:w="3400"/>
            <w:shd w:fill="1F5FA6" w:color="auto" w:val="clear"/>
            <w:tcMar>
              <w:top w:type="dxa" w:w="80"/>
              <w:left w:type="dxa" w:w="120"/>
              <w:bottom w:type="dxa" w:w="80"/>
              <w:right w:type="dxa" w:w="120"/>
            </w:tcMar>
            <w:vAlign w:val="center"/>
          </w:tcPr>
          <w:p>
            <w:r>
              <w:rPr>
                <w:b/>
                <w:bCs/>
                <w:color w:val="FFFFFF"/>
                <w:sz w:val="19"/>
                <w:szCs w:val="19"/>
              </w:rPr>
              <w:t xml:space="preserve">Calculation</w:t>
            </w:r>
          </w:p>
        </w:tc>
        <w:tc>
          <w:tcPr>
            <w:tcW w:type="dxa" w:w="4800"/>
            <w:shd w:fill="1F5FA6" w:color="auto" w:val="clear"/>
            <w:tcMar>
              <w:top w:type="dxa" w:w="80"/>
              <w:left w:type="dxa" w:w="120"/>
              <w:bottom w:type="dxa" w:w="80"/>
              <w:right w:type="dxa" w:w="120"/>
            </w:tcMar>
            <w:vAlign w:val="center"/>
          </w:tcPr>
          <w:p>
            <w:r>
              <w:rPr>
                <w:b/>
                <w:bCs/>
                <w:color w:val="FFFFFF"/>
                <w:sz w:val="19"/>
                <w:szCs w:val="19"/>
              </w:rPr>
              <w:t xml:space="preserve">Result</w:t>
            </w:r>
          </w:p>
        </w:tc>
      </w:tr>
      <w:tr>
        <w:tc>
          <w:tcPr>
            <w:tcW w:type="dxa" w:w="3400"/>
            <w:shd w:fill="FFFFFF" w:color="auto" w:val="clear"/>
            <w:tcMar>
              <w:top w:type="dxa" w:w="80"/>
              <w:left w:type="dxa" w:w="120"/>
              <w:bottom w:type="dxa" w:w="80"/>
              <w:right w:type="dxa" w:w="120"/>
            </w:tcMar>
            <w:vAlign w:val="center"/>
          </w:tcPr>
          <w:p>
            <w:r>
              <w:rPr>
                <w:b w:val="false"/>
                <w:bCs w:val="false"/>
                <w:color w:val="000000"/>
                <w:sz w:val="19"/>
                <w:szCs w:val="19"/>
              </w:rPr>
              <w:t xml:space="preserve">~$0.0006 per evaluation (illustrative mid-tier model rate) × 10,000 evaluations/day</w:t>
            </w:r>
          </w:p>
        </w:tc>
        <w:tc>
          <w:tcPr>
            <w:tcW w:type="dxa" w:w="4800"/>
            <w:shd w:fill="FFFFFF" w:color="auto" w:val="clear"/>
            <w:tcMar>
              <w:top w:type="dxa" w:w="80"/>
              <w:left w:type="dxa" w:w="120"/>
              <w:bottom w:type="dxa" w:w="80"/>
              <w:right w:type="dxa" w:w="120"/>
            </w:tcMar>
            <w:vAlign w:val="center"/>
          </w:tcPr>
          <w:p>
            <w:r>
              <w:rPr>
                <w:b w:val="false"/>
                <w:bCs w:val="false"/>
                <w:color w:val="000000"/>
                <w:sz w:val="19"/>
                <w:szCs w:val="19"/>
              </w:rPr>
              <w:t xml:space="preserve">~$5.80/day</w:t>
            </w:r>
          </w:p>
        </w:tc>
      </w:tr>
      <w:tr>
        <w:tc>
          <w:tcPr>
            <w:tcW w:type="dxa" w:w="3400"/>
            <w:shd w:fill="EAF1FB" w:color="auto" w:val="clear"/>
            <w:tcMar>
              <w:top w:type="dxa" w:w="80"/>
              <w:left w:type="dxa" w:w="120"/>
              <w:bottom w:type="dxa" w:w="80"/>
              <w:right w:type="dxa" w:w="120"/>
            </w:tcMar>
            <w:vAlign w:val="center"/>
          </w:tcPr>
          <w:p>
            <w:r>
              <w:rPr>
                <w:b w:val="false"/>
                <w:bCs w:val="false"/>
                <w:color w:val="000000"/>
                <w:sz w:val="19"/>
                <w:szCs w:val="19"/>
              </w:rPr>
              <w:t xml:space="preserve">Monthly (× 30)</w:t>
            </w:r>
          </w:p>
        </w:tc>
        <w:tc>
          <w:tcPr>
            <w:tcW w:type="dxa" w:w="4800"/>
            <w:shd w:fill="EAF1FB" w:color="auto" w:val="clear"/>
            <w:tcMar>
              <w:top w:type="dxa" w:w="80"/>
              <w:left w:type="dxa" w:w="120"/>
              <w:bottom w:type="dxa" w:w="80"/>
              <w:right w:type="dxa" w:w="120"/>
            </w:tcMar>
            <w:vAlign w:val="center"/>
          </w:tcPr>
          <w:p>
            <w:r>
              <w:rPr>
                <w:b w:val="false"/>
                <w:bCs w:val="false"/>
                <w:color w:val="000000"/>
                <w:sz w:val="19"/>
                <w:szCs w:val="19"/>
              </w:rPr>
              <w:t xml:space="preserve">~$174/month</w:t>
            </w:r>
          </w:p>
        </w:tc>
      </w:tr>
    </w:tbl>
    <w:p>
      <w:pPr>
        <w:pBdr>
          <w:left w:val="single" w:color="B45309" w:sz="12" w:space="8"/>
        </w:pBdr>
        <w:shd w:fill="FEF3E2" w:color="auto" w:val="clear"/>
        <w:spacing w:after="200" w:before="100"/>
      </w:pPr>
      <w:r>
        <w:rPr>
          <w:b/>
          <w:bCs/>
          <w:color w:val="B45309"/>
          <w:sz w:val="20"/>
          <w:szCs w:val="20"/>
        </w:rPr>
        <w:t xml:space="preserve">Note: </w:t>
      </w:r>
      <w:r>
        <w:rPr>
          <w:color w:val="6B4A18"/>
          <w:sz w:val="20"/>
          <w:szCs w:val="20"/>
        </w:rPr>
        <w:t xml:space="preserve">this line scales directly with inspection volume and is the primary target for future cost optimization — image downscaling before sending to the AI provider, and routing high-volume/lower-complexity checks to a cheaper self-hosted model, are the two most effective levers (see Section 6).</w:t>
      </w:r>
    </w:p>
    <w:p>
      <w:pPr>
        <w:pStyle w:val="Heading2"/>
        <w:spacing w:after="120" w:before="240"/>
      </w:pPr>
      <w:r>
        <w:t xml:space="preserve">4.6 Authentication (SMS OTP)</w:t>
      </w:r>
    </w:p>
    <w:p>
      <w:pPr>
        <w:spacing w:after="140"/>
      </w:pPr>
      <w:r>
        <w:t xml:space="preserve">At 50 active users logging in regularly, Firebase's free phone-auth quota is no longer sufficient, and a real SMS provider (e.g. Twilio, MSG91) becomes necessary.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tblGrid>
      <w:tr>
        <w:tc>
          <w:tcPr>
            <w:tcW w:type="dxa" w:w="3400"/>
            <w:shd w:fill="1F5FA6" w:color="auto" w:val="clear"/>
            <w:tcMar>
              <w:top w:type="dxa" w:w="80"/>
              <w:left w:type="dxa" w:w="120"/>
              <w:bottom w:type="dxa" w:w="80"/>
              <w:right w:type="dxa" w:w="120"/>
            </w:tcMar>
            <w:vAlign w:val="center"/>
          </w:tcPr>
          <w:p>
            <w:r>
              <w:rPr>
                <w:b/>
                <w:bCs/>
                <w:color w:val="FFFFFF"/>
                <w:sz w:val="19"/>
                <w:szCs w:val="19"/>
              </w:rPr>
              <w:t xml:space="preserve">Calculation</w:t>
            </w:r>
          </w:p>
        </w:tc>
        <w:tc>
          <w:tcPr>
            <w:tcW w:type="dxa" w:w="4800"/>
            <w:shd w:fill="1F5FA6" w:color="auto" w:val="clear"/>
            <w:tcMar>
              <w:top w:type="dxa" w:w="80"/>
              <w:left w:type="dxa" w:w="120"/>
              <w:bottom w:type="dxa" w:w="80"/>
              <w:right w:type="dxa" w:w="120"/>
            </w:tcMar>
            <w:vAlign w:val="center"/>
          </w:tcPr>
          <w:p>
            <w:r>
              <w:rPr>
                <w:b/>
                <w:bCs/>
                <w:color w:val="FFFFFF"/>
                <w:sz w:val="19"/>
                <w:szCs w:val="19"/>
              </w:rPr>
              <w:t xml:space="preserve">Result</w:t>
            </w:r>
          </w:p>
        </w:tc>
      </w:tr>
      <w:tr>
        <w:tc>
          <w:tcPr>
            <w:tcW w:type="dxa" w:w="3400"/>
            <w:shd w:fill="FFFFFF" w:color="auto" w:val="clear"/>
            <w:tcMar>
              <w:top w:type="dxa" w:w="80"/>
              <w:left w:type="dxa" w:w="120"/>
              <w:bottom w:type="dxa" w:w="80"/>
              <w:right w:type="dxa" w:w="120"/>
            </w:tcMar>
            <w:vAlign w:val="center"/>
          </w:tcPr>
          <w:p>
            <w:r>
              <w:rPr>
                <w:b w:val="false"/>
                <w:bCs w:val="false"/>
                <w:color w:val="000000"/>
                <w:sz w:val="19"/>
                <w:szCs w:val="19"/>
              </w:rPr>
              <w:t xml:space="preserve">~3,000 OTP messages/month (50 users × ~2 logins/day, illustrative) × ~$0.03/message</w:t>
            </w:r>
          </w:p>
        </w:tc>
        <w:tc>
          <w:tcPr>
            <w:tcW w:type="dxa" w:w="4800"/>
            <w:shd w:fill="FFFFFF" w:color="auto" w:val="clear"/>
            <w:tcMar>
              <w:top w:type="dxa" w:w="80"/>
              <w:left w:type="dxa" w:w="120"/>
              <w:bottom w:type="dxa" w:w="80"/>
              <w:right w:type="dxa" w:w="120"/>
            </w:tcMar>
            <w:vAlign w:val="center"/>
          </w:tcPr>
          <w:p>
            <w:r>
              <w:rPr>
                <w:b w:val="false"/>
                <w:bCs w:val="false"/>
                <w:color w:val="000000"/>
                <w:sz w:val="19"/>
                <w:szCs w:val="19"/>
              </w:rPr>
              <w:t xml:space="preserve">~$90/month</w:t>
            </w:r>
          </w:p>
        </w:tc>
      </w:tr>
    </w:tbl>
    <w:p>
      <w:pPr>
        <w:pBdr>
          <w:left w:val="single" w:color="B45309" w:sz="12" w:space="8"/>
        </w:pBdr>
        <w:shd w:fill="FEF3E2" w:color="auto" w:val="clear"/>
        <w:spacing w:after="200" w:before="100"/>
      </w:pPr>
      <w:r>
        <w:rPr>
          <w:b/>
          <w:bCs/>
          <w:color w:val="B45309"/>
          <w:sz w:val="20"/>
          <w:szCs w:val="20"/>
        </w:rPr>
        <w:t xml:space="preserve">Note: </w:t>
      </w:r>
      <w:r>
        <w:rPr>
          <w:color w:val="6B4A18"/>
          <w:sz w:val="20"/>
          <w:szCs w:val="20"/>
        </w:rPr>
        <w:t xml:space="preserve">SMS pricing varies significantly by destination country — this figure should be replaced with a real quote from your chosen provider for your actual user base's location before finalizing the budget.</w:t>
      </w:r>
    </w:p>
    <w:p>
      <w:pPr>
        <w:pStyle w:val="Heading2"/>
        <w:spacing w:after="120" w:before="240"/>
      </w:pPr>
      <w:r>
        <w:t xml:space="preserve">4.7 Remaining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600"/>
      </w:tblGrid>
      <w:tr>
        <w:tc>
          <w:tcPr>
            <w:tcW w:type="dxa" w:w="2600"/>
            <w:shd w:fill="1F5FA6" w:color="auto" w:val="clear"/>
            <w:tcMar>
              <w:top w:type="dxa" w:w="80"/>
              <w:left w:type="dxa" w:w="120"/>
              <w:bottom w:type="dxa" w:w="80"/>
              <w:right w:type="dxa" w:w="120"/>
            </w:tcMar>
            <w:vAlign w:val="center"/>
          </w:tcPr>
          <w:p>
            <w:r>
              <w:rPr>
                <w:b/>
                <w:bCs/>
                <w:color w:val="FFFFFF"/>
                <w:sz w:val="19"/>
                <w:szCs w:val="19"/>
              </w:rPr>
              <w:t xml:space="preserve">Service</w:t>
            </w:r>
          </w:p>
        </w:tc>
        <w:tc>
          <w:tcPr>
            <w:tcW w:type="dxa" w:w="4800"/>
            <w:shd w:fill="1F5FA6" w:color="auto" w:val="clear"/>
            <w:tcMar>
              <w:top w:type="dxa" w:w="80"/>
              <w:left w:type="dxa" w:w="120"/>
              <w:bottom w:type="dxa" w:w="80"/>
              <w:right w:type="dxa" w:w="120"/>
            </w:tcMar>
            <w:vAlign w:val="center"/>
          </w:tcPr>
          <w:p>
            <w:r>
              <w:rPr>
                <w:b/>
                <w:bCs/>
                <w:color w:val="FFFFFF"/>
                <w:sz w:val="19"/>
                <w:szCs w:val="19"/>
              </w:rPr>
              <w:t xml:space="preserve">Notes at 50-User Scale</w:t>
            </w:r>
          </w:p>
        </w:tc>
        <w:tc>
          <w:tcPr>
            <w:tcW w:type="dxa" w:w="1600"/>
            <w:shd w:fill="1F5FA6" w:color="auto" w:val="clear"/>
            <w:tcMar>
              <w:top w:type="dxa" w:w="80"/>
              <w:left w:type="dxa" w:w="120"/>
              <w:bottom w:type="dxa" w:w="80"/>
              <w:right w:type="dxa" w:w="120"/>
            </w:tcMar>
            <w:vAlign w:val="center"/>
          </w:tcPr>
          <w:p>
            <w:r>
              <w:rPr>
                <w:b/>
                <w:bCs/>
                <w:color w:val="FFFFFF"/>
                <w:sz w:val="19"/>
                <w:szCs w:val="19"/>
              </w:rPr>
              <w:t xml:space="preserve">Monthly Cost</w:t>
            </w:r>
          </w:p>
        </w:tc>
      </w:tr>
      <w:tr>
        <w:tc>
          <w:tcPr>
            <w:tcW w:type="dxa" w:w="2600"/>
            <w:shd w:fill="FFFFFF" w:color="auto" w:val="clear"/>
            <w:tcMar>
              <w:top w:type="dxa" w:w="80"/>
              <w:left w:type="dxa" w:w="120"/>
              <w:bottom w:type="dxa" w:w="80"/>
              <w:right w:type="dxa" w:w="120"/>
            </w:tcMar>
            <w:vAlign w:val="center"/>
          </w:tcPr>
          <w:p>
            <w:r>
              <w:rPr>
                <w:b w:val="false"/>
                <w:bCs w:val="false"/>
                <w:color w:val="000000"/>
                <w:sz w:val="19"/>
                <w:szCs w:val="19"/>
              </w:rPr>
              <w:t xml:space="preserve">Push notifications (FCM)</w:t>
            </w:r>
          </w:p>
        </w:tc>
        <w:tc>
          <w:tcPr>
            <w:tcW w:type="dxa" w:w="4800"/>
            <w:shd w:fill="FFFFFF" w:color="auto" w:val="clear"/>
            <w:tcMar>
              <w:top w:type="dxa" w:w="80"/>
              <w:left w:type="dxa" w:w="120"/>
              <w:bottom w:type="dxa" w:w="80"/>
              <w:right w:type="dxa" w:w="120"/>
            </w:tcMar>
            <w:vAlign w:val="center"/>
          </w:tcPr>
          <w:p>
            <w:r>
              <w:rPr>
                <w:b w:val="false"/>
                <w:bCs w:val="false"/>
                <w:color w:val="000000"/>
                <w:sz w:val="19"/>
                <w:szCs w:val="19"/>
              </w:rPr>
              <w:t xml:space="preserve">Free at any scale</w:t>
            </w:r>
          </w:p>
        </w:tc>
        <w:tc>
          <w:tcPr>
            <w:tcW w:type="dxa" w:w="1600"/>
            <w:shd w:fill="FFFFFF" w:color="auto" w:val="clear"/>
            <w:tcMar>
              <w:top w:type="dxa" w:w="80"/>
              <w:left w:type="dxa" w:w="120"/>
              <w:bottom w:type="dxa" w:w="80"/>
              <w:right w:type="dxa" w:w="120"/>
            </w:tcMar>
            <w:vAlign w:val="center"/>
          </w:tcPr>
          <w:p>
            <w:r>
              <w:rPr>
                <w:b w:val="false"/>
                <w:bCs w:val="false"/>
                <w:color w:val="000000"/>
                <w:sz w:val="19"/>
                <w:szCs w:val="19"/>
              </w:rPr>
              <w:t xml:space="preserve">$0</w:t>
            </w:r>
          </w:p>
        </w:tc>
      </w:tr>
      <w:tr>
        <w:tc>
          <w:tcPr>
            <w:tcW w:type="dxa" w:w="2600"/>
            <w:shd w:fill="EAF1FB" w:color="auto" w:val="clear"/>
            <w:tcMar>
              <w:top w:type="dxa" w:w="80"/>
              <w:left w:type="dxa" w:w="120"/>
              <w:bottom w:type="dxa" w:w="80"/>
              <w:right w:type="dxa" w:w="120"/>
            </w:tcMar>
            <w:vAlign w:val="center"/>
          </w:tcPr>
          <w:p>
            <w:r>
              <w:rPr>
                <w:b w:val="false"/>
                <w:bCs w:val="false"/>
                <w:color w:val="000000"/>
                <w:sz w:val="19"/>
                <w:szCs w:val="19"/>
              </w:rPr>
              <w:t xml:space="preserve">Payments (Stripe/Razorpay)</w:t>
            </w:r>
          </w:p>
        </w:tc>
        <w:tc>
          <w:tcPr>
            <w:tcW w:type="dxa" w:w="4800"/>
            <w:shd w:fill="EAF1FB" w:color="auto" w:val="clear"/>
            <w:tcMar>
              <w:top w:type="dxa" w:w="80"/>
              <w:left w:type="dxa" w:w="120"/>
              <w:bottom w:type="dxa" w:w="80"/>
              <w:right w:type="dxa" w:w="120"/>
            </w:tcMar>
            <w:vAlign w:val="center"/>
          </w:tcPr>
          <w:p>
            <w:r>
              <w:rPr>
                <w:b w:val="false"/>
                <w:bCs w:val="false"/>
                <w:color w:val="000000"/>
                <w:sz w:val="19"/>
                <w:szCs w:val="19"/>
              </w:rPr>
              <w:t xml:space="preserve">Per-transaction fee against revenue, not infrastructure spend</w:t>
            </w:r>
          </w:p>
        </w:tc>
        <w:tc>
          <w:tcPr>
            <w:tcW w:type="dxa" w:w="1600"/>
            <w:shd w:fill="EAF1FB" w:color="auto" w:val="clear"/>
            <w:tcMar>
              <w:top w:type="dxa" w:w="80"/>
              <w:left w:type="dxa" w:w="120"/>
              <w:bottom w:type="dxa" w:w="80"/>
              <w:right w:type="dxa" w:w="120"/>
            </w:tcMar>
            <w:vAlign w:val="center"/>
          </w:tcPr>
          <w:p>
            <w:r>
              <w:rPr>
                <w:b w:val="false"/>
                <w:bCs w:val="false"/>
                <w:color w:val="000000"/>
                <w:sz w:val="19"/>
                <w:szCs w:val="19"/>
              </w:rPr>
              <w:t xml:space="preserve">Excluded</w:t>
            </w:r>
          </w:p>
        </w:tc>
      </w:tr>
      <w:tr>
        <w:tc>
          <w:tcPr>
            <w:tcW w:type="dxa" w:w="2600"/>
            <w:shd w:fill="FFFFFF" w:color="auto" w:val="clear"/>
            <w:tcMar>
              <w:top w:type="dxa" w:w="80"/>
              <w:left w:type="dxa" w:w="120"/>
              <w:bottom w:type="dxa" w:w="80"/>
              <w:right w:type="dxa" w:w="120"/>
            </w:tcMar>
            <w:vAlign w:val="center"/>
          </w:tcPr>
          <w:p>
            <w:r>
              <w:rPr>
                <w:b w:val="false"/>
                <w:bCs w:val="false"/>
                <w:color w:val="000000"/>
                <w:sz w:val="19"/>
                <w:szCs w:val="19"/>
              </w:rPr>
              <w:t xml:space="preserve">CI/CD (GitHub Actions)</w:t>
            </w:r>
          </w:p>
        </w:tc>
        <w:tc>
          <w:tcPr>
            <w:tcW w:type="dxa" w:w="4800"/>
            <w:shd w:fill="FFFFFF" w:color="auto" w:val="clear"/>
            <w:tcMar>
              <w:top w:type="dxa" w:w="80"/>
              <w:left w:type="dxa" w:w="120"/>
              <w:bottom w:type="dxa" w:w="80"/>
              <w:right w:type="dxa" w:w="120"/>
            </w:tcMar>
            <w:vAlign w:val="center"/>
          </w:tcPr>
          <w:p>
            <w:r>
              <w:rPr>
                <w:b w:val="false"/>
                <w:bCs w:val="false"/>
                <w:color w:val="000000"/>
                <w:sz w:val="19"/>
                <w:szCs w:val="19"/>
              </w:rPr>
              <w:t xml:space="preserve">Still comfortably within free tier for a small team</w:t>
            </w:r>
          </w:p>
        </w:tc>
        <w:tc>
          <w:tcPr>
            <w:tcW w:type="dxa" w:w="1600"/>
            <w:shd w:fill="FFFFFF" w:color="auto" w:val="clear"/>
            <w:tcMar>
              <w:top w:type="dxa" w:w="80"/>
              <w:left w:type="dxa" w:w="120"/>
              <w:bottom w:type="dxa" w:w="80"/>
              <w:right w:type="dxa" w:w="120"/>
            </w:tcMar>
            <w:vAlign w:val="center"/>
          </w:tcPr>
          <w:p>
            <w:r>
              <w:rPr>
                <w:b w:val="false"/>
                <w:bCs w:val="false"/>
                <w:color w:val="000000"/>
                <w:sz w:val="19"/>
                <w:szCs w:val="19"/>
              </w:rPr>
              <w:t xml:space="preserve">$0</w:t>
            </w:r>
          </w:p>
        </w:tc>
      </w:tr>
      <w:tr>
        <w:tc>
          <w:tcPr>
            <w:tcW w:type="dxa" w:w="2600"/>
            <w:shd w:fill="EAF1FB" w:color="auto" w:val="clear"/>
            <w:tcMar>
              <w:top w:type="dxa" w:w="80"/>
              <w:left w:type="dxa" w:w="120"/>
              <w:bottom w:type="dxa" w:w="80"/>
              <w:right w:type="dxa" w:w="120"/>
            </w:tcMar>
            <w:vAlign w:val="center"/>
          </w:tcPr>
          <w:p>
            <w:r>
              <w:rPr>
                <w:b w:val="false"/>
                <w:bCs w:val="false"/>
                <w:color w:val="000000"/>
                <w:sz w:val="19"/>
                <w:szCs w:val="19"/>
              </w:rPr>
              <w:t xml:space="preserve">Monitoring &amp; logging</w:t>
            </w:r>
          </w:p>
        </w:tc>
        <w:tc>
          <w:tcPr>
            <w:tcW w:type="dxa" w:w="4800"/>
            <w:shd w:fill="EAF1FB" w:color="auto" w:val="clear"/>
            <w:tcMar>
              <w:top w:type="dxa" w:w="80"/>
              <w:left w:type="dxa" w:w="120"/>
              <w:bottom w:type="dxa" w:w="80"/>
              <w:right w:type="dxa" w:w="120"/>
            </w:tcMar>
            <w:vAlign w:val="center"/>
          </w:tcPr>
          <w:p>
            <w:r>
              <w:rPr>
                <w:b w:val="false"/>
                <w:bCs w:val="false"/>
                <w:color w:val="000000"/>
                <w:sz w:val="19"/>
                <w:szCs w:val="19"/>
              </w:rPr>
              <w:t xml:space="preserve">Modest paid usage likely as log volume grows with 50 properties</w:t>
            </w:r>
          </w:p>
        </w:tc>
        <w:tc>
          <w:tcPr>
            <w:tcW w:type="dxa" w:w="1600"/>
            <w:shd w:fill="EAF1FB" w:color="auto" w:val="clear"/>
            <w:tcMar>
              <w:top w:type="dxa" w:w="80"/>
              <w:left w:type="dxa" w:w="120"/>
              <w:bottom w:type="dxa" w:w="80"/>
              <w:right w:type="dxa" w:w="120"/>
            </w:tcMar>
            <w:vAlign w:val="center"/>
          </w:tcPr>
          <w:p>
            <w:r>
              <w:rPr>
                <w:b w:val="false"/>
                <w:bCs w:val="false"/>
                <w:color w:val="000000"/>
                <w:sz w:val="19"/>
                <w:szCs w:val="19"/>
              </w:rPr>
              <w:t xml:space="preserve">~$5</w:t>
            </w:r>
          </w:p>
        </w:tc>
      </w:tr>
      <w:tr>
        <w:tc>
          <w:tcPr>
            <w:tcW w:type="dxa" w:w="2600"/>
            <w:shd w:fill="FFFFFF" w:color="auto" w:val="clear"/>
            <w:tcMar>
              <w:top w:type="dxa" w:w="80"/>
              <w:left w:type="dxa" w:w="120"/>
              <w:bottom w:type="dxa" w:w="80"/>
              <w:right w:type="dxa" w:w="120"/>
            </w:tcMar>
            <w:vAlign w:val="center"/>
          </w:tcPr>
          <w:p>
            <w:r>
              <w:rPr>
                <w:b w:val="false"/>
                <w:bCs w:val="false"/>
                <w:color w:val="000000"/>
                <w:sz w:val="19"/>
                <w:szCs w:val="19"/>
              </w:rPr>
              <w:t xml:space="preserve">Domain &amp; SSL</w:t>
            </w:r>
          </w:p>
        </w:tc>
        <w:tc>
          <w:tcPr>
            <w:tcW w:type="dxa" w:w="4800"/>
            <w:shd w:fill="FFFFFF" w:color="auto" w:val="clear"/>
            <w:tcMar>
              <w:top w:type="dxa" w:w="80"/>
              <w:left w:type="dxa" w:w="120"/>
              <w:bottom w:type="dxa" w:w="80"/>
              <w:right w:type="dxa" w:w="120"/>
            </w:tcMar>
            <w:vAlign w:val="center"/>
          </w:tcPr>
          <w:p>
            <w:r>
              <w:rPr>
                <w:b w:val="false"/>
                <w:bCs w:val="false"/>
                <w:color w:val="000000"/>
                <w:sz w:val="19"/>
                <w:szCs w:val="19"/>
              </w:rPr>
              <w:t xml:space="preserve">Unchanged from pilot</w:t>
            </w:r>
          </w:p>
        </w:tc>
        <w:tc>
          <w:tcPr>
            <w:tcW w:type="dxa" w:w="1600"/>
            <w:shd w:fill="FFFFFF" w:color="auto" w:val="clear"/>
            <w:tcMar>
              <w:top w:type="dxa" w:w="80"/>
              <w:left w:type="dxa" w:w="120"/>
              <w:bottom w:type="dxa" w:w="80"/>
              <w:right w:type="dxa" w:w="120"/>
            </w:tcMar>
            <w:vAlign w:val="center"/>
          </w:tcPr>
          <w:p>
            <w:r>
              <w:rPr>
                <w:b w:val="false"/>
                <w:bCs w:val="false"/>
                <w:color w:val="000000"/>
                <w:sz w:val="19"/>
                <w:szCs w:val="19"/>
              </w:rPr>
              <w:t xml:space="preserve">~$1</w:t>
            </w:r>
          </w:p>
        </w:tc>
      </w:tr>
    </w:tbl>
    <w:p>
      <w:pPr>
        <w:pStyle w:val="Heading1"/>
        <w:spacing w:after="160" w:before="320"/>
      </w:pPr>
      <w:r>
        <w:t xml:space="preserve">5. Total Cost Summary — Scenario B (50 Users)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800"/>
      </w:tblGrid>
      <w:tr>
        <w:tc>
          <w:tcPr>
            <w:tcW w:type="dxa" w:w="3400"/>
            <w:shd w:fill="1F5FA6" w:color="auto" w:val="clear"/>
            <w:tcMar>
              <w:top w:type="dxa" w:w="80"/>
              <w:left w:type="dxa" w:w="120"/>
              <w:bottom w:type="dxa" w:w="80"/>
              <w:right w:type="dxa" w:w="120"/>
            </w:tcMar>
            <w:vAlign w:val="center"/>
          </w:tcPr>
          <w:p>
            <w:r>
              <w:rPr>
                <w:b/>
                <w:bCs/>
                <w:color w:val="FFFFFF"/>
                <w:sz w:val="19"/>
                <w:szCs w:val="19"/>
              </w:rPr>
              <w:t xml:space="preserve">Service</w:t>
            </w:r>
          </w:p>
        </w:tc>
        <w:tc>
          <w:tcPr>
            <w:tcW w:type="dxa" w:w="2000"/>
            <w:shd w:fill="1F5FA6" w:color="auto" w:val="clear"/>
            <w:tcMar>
              <w:top w:type="dxa" w:w="80"/>
              <w:left w:type="dxa" w:w="120"/>
              <w:bottom w:type="dxa" w:w="80"/>
              <w:right w:type="dxa" w:w="120"/>
            </w:tcMar>
            <w:vAlign w:val="center"/>
          </w:tcPr>
          <w:p>
            <w:r>
              <w:rPr>
                <w:b/>
                <w:bCs/>
                <w:color w:val="FFFFFF"/>
                <w:sz w:val="19"/>
                <w:szCs w:val="19"/>
              </w:rPr>
              <w:t xml:space="preserve">Lean Option</w:t>
            </w:r>
          </w:p>
        </w:tc>
        <w:tc>
          <w:tcPr>
            <w:tcW w:type="dxa" w:w="2800"/>
            <w:shd w:fill="1F5FA6" w:color="auto" w:val="clear"/>
            <w:tcMar>
              <w:top w:type="dxa" w:w="80"/>
              <w:left w:type="dxa" w:w="120"/>
              <w:bottom w:type="dxa" w:w="80"/>
              <w:right w:type="dxa" w:w="120"/>
            </w:tcMar>
            <w:vAlign w:val="center"/>
          </w:tcPr>
          <w:p>
            <w:r>
              <w:rPr>
                <w:b/>
                <w:bCs/>
                <w:color w:val="FFFFFF"/>
                <w:sz w:val="19"/>
                <w:szCs w:val="19"/>
              </w:rPr>
              <w:t xml:space="preserve">Recommended Option</w:t>
            </w:r>
          </w:p>
        </w:tc>
      </w:tr>
      <w:tr>
        <w:tc>
          <w:tcPr>
            <w:tcW w:type="dxa" w:w="3400"/>
            <w:shd w:fill="FFFFFF" w:color="auto" w:val="clear"/>
            <w:tcMar>
              <w:top w:type="dxa" w:w="80"/>
              <w:left w:type="dxa" w:w="120"/>
              <w:bottom w:type="dxa" w:w="80"/>
              <w:right w:type="dxa" w:w="120"/>
            </w:tcMar>
            <w:vAlign w:val="center"/>
          </w:tcPr>
          <w:p>
            <w:r>
              <w:rPr>
                <w:b w:val="false"/>
                <w:bCs w:val="false"/>
                <w:color w:val="000000"/>
                <w:sz w:val="19"/>
                <w:szCs w:val="19"/>
              </w:rPr>
              <w:t xml:space="preserve">Compute (API + workers + cron)</w:t>
            </w:r>
          </w:p>
        </w:tc>
        <w:tc>
          <w:tcPr>
            <w:tcW w:type="dxa" w:w="2000"/>
            <w:shd w:fill="FFFFFF" w:color="auto" w:val="clear"/>
            <w:tcMar>
              <w:top w:type="dxa" w:w="80"/>
              <w:left w:type="dxa" w:w="120"/>
              <w:bottom w:type="dxa" w:w="80"/>
              <w:right w:type="dxa" w:w="120"/>
            </w:tcMar>
            <w:vAlign w:val="center"/>
          </w:tcPr>
          <w:p>
            <w:r>
              <w:rPr>
                <w:b w:val="false"/>
                <w:bCs w:val="false"/>
                <w:color w:val="000000"/>
                <w:sz w:val="19"/>
                <w:szCs w:val="19"/>
              </w:rPr>
              <w:t xml:space="preserve">$71</w:t>
            </w:r>
          </w:p>
        </w:tc>
        <w:tc>
          <w:tcPr>
            <w:tcW w:type="dxa" w:w="2800"/>
            <w:shd w:fill="FFFFFF" w:color="auto" w:val="clear"/>
            <w:tcMar>
              <w:top w:type="dxa" w:w="80"/>
              <w:left w:type="dxa" w:w="120"/>
              <w:bottom w:type="dxa" w:w="80"/>
              <w:right w:type="dxa" w:w="120"/>
            </w:tcMar>
            <w:vAlign w:val="center"/>
          </w:tcPr>
          <w:p>
            <w:r>
              <w:rPr>
                <w:b w:val="false"/>
                <w:bCs w:val="false"/>
                <w:color w:val="000000"/>
                <w:sz w:val="19"/>
                <w:szCs w:val="19"/>
              </w:rPr>
              <w:t xml:space="preserve">$71</w:t>
            </w:r>
          </w:p>
        </w:tc>
      </w:tr>
      <w:tr>
        <w:tc>
          <w:tcPr>
            <w:tcW w:type="dxa" w:w="3400"/>
            <w:shd w:fill="EAF1FB" w:color="auto" w:val="clear"/>
            <w:tcMar>
              <w:top w:type="dxa" w:w="80"/>
              <w:left w:type="dxa" w:w="120"/>
              <w:bottom w:type="dxa" w:w="80"/>
              <w:right w:type="dxa" w:w="120"/>
            </w:tcMar>
            <w:vAlign w:val="center"/>
          </w:tcPr>
          <w:p>
            <w:r>
              <w:rPr>
                <w:b w:val="false"/>
                <w:bCs w:val="false"/>
                <w:color w:val="000000"/>
                <w:sz w:val="19"/>
                <w:szCs w:val="19"/>
              </w:rPr>
              <w:t xml:space="preserve">Database (Cloud SQL)</w:t>
            </w:r>
          </w:p>
        </w:tc>
        <w:tc>
          <w:tcPr>
            <w:tcW w:type="dxa" w:w="2000"/>
            <w:shd w:fill="EAF1FB" w:color="auto" w:val="clear"/>
            <w:tcMar>
              <w:top w:type="dxa" w:w="80"/>
              <w:left w:type="dxa" w:w="120"/>
              <w:bottom w:type="dxa" w:w="80"/>
              <w:right w:type="dxa" w:w="120"/>
            </w:tcMar>
            <w:vAlign w:val="center"/>
          </w:tcPr>
          <w:p>
            <w:r>
              <w:rPr>
                <w:b w:val="false"/>
                <w:bCs w:val="false"/>
                <w:color w:val="000000"/>
                <w:sz w:val="19"/>
                <w:szCs w:val="19"/>
              </w:rPr>
              <w:t xml:space="preserve">$52</w:t>
            </w:r>
          </w:p>
        </w:tc>
        <w:tc>
          <w:tcPr>
            <w:tcW w:type="dxa" w:w="2800"/>
            <w:shd w:fill="EAF1FB" w:color="auto" w:val="clear"/>
            <w:tcMar>
              <w:top w:type="dxa" w:w="80"/>
              <w:left w:type="dxa" w:w="120"/>
              <w:bottom w:type="dxa" w:w="80"/>
              <w:right w:type="dxa" w:w="120"/>
            </w:tcMar>
            <w:vAlign w:val="center"/>
          </w:tcPr>
          <w:p>
            <w:r>
              <w:rPr>
                <w:b w:val="false"/>
                <w:bCs w:val="false"/>
                <w:color w:val="000000"/>
                <w:sz w:val="19"/>
                <w:szCs w:val="19"/>
              </w:rPr>
              <w:t xml:space="preserve">$158</w:t>
            </w:r>
          </w:p>
        </w:tc>
      </w:tr>
      <w:tr>
        <w:tc>
          <w:tcPr>
            <w:tcW w:type="dxa" w:w="3400"/>
            <w:shd w:fill="FFFFFF" w:color="auto" w:val="clear"/>
            <w:tcMar>
              <w:top w:type="dxa" w:w="80"/>
              <w:left w:type="dxa" w:w="120"/>
              <w:bottom w:type="dxa" w:w="80"/>
              <w:right w:type="dxa" w:w="120"/>
            </w:tcMar>
            <w:vAlign w:val="center"/>
          </w:tcPr>
          <w:p>
            <w:r>
              <w:rPr>
                <w:b w:val="false"/>
                <w:bCs w:val="false"/>
                <w:color w:val="000000"/>
                <w:sz w:val="19"/>
                <w:szCs w:val="19"/>
              </w:rPr>
              <w:t xml:space="preserve">Cache / queue (Redis)</w:t>
            </w:r>
          </w:p>
        </w:tc>
        <w:tc>
          <w:tcPr>
            <w:tcW w:type="dxa" w:w="2000"/>
            <w:shd w:fill="FFFFFF" w:color="auto" w:val="clear"/>
            <w:tcMar>
              <w:top w:type="dxa" w:w="80"/>
              <w:left w:type="dxa" w:w="120"/>
              <w:bottom w:type="dxa" w:w="80"/>
              <w:right w:type="dxa" w:w="120"/>
            </w:tcMar>
            <w:vAlign w:val="center"/>
          </w:tcPr>
          <w:p>
            <w:r>
              <w:rPr>
                <w:b w:val="false"/>
                <w:bCs w:val="false"/>
                <w:color w:val="000000"/>
                <w:sz w:val="19"/>
                <w:szCs w:val="19"/>
              </w:rPr>
              <w:t xml:space="preserve">$36</w:t>
            </w:r>
          </w:p>
        </w:tc>
        <w:tc>
          <w:tcPr>
            <w:tcW w:type="dxa" w:w="2800"/>
            <w:shd w:fill="FFFFFF" w:color="auto" w:val="clear"/>
            <w:tcMar>
              <w:top w:type="dxa" w:w="80"/>
              <w:left w:type="dxa" w:w="120"/>
              <w:bottom w:type="dxa" w:w="80"/>
              <w:right w:type="dxa" w:w="120"/>
            </w:tcMar>
            <w:vAlign w:val="center"/>
          </w:tcPr>
          <w:p>
            <w:r>
              <w:rPr>
                <w:b w:val="false"/>
                <w:bCs w:val="false"/>
                <w:color w:val="000000"/>
                <w:sz w:val="19"/>
                <w:szCs w:val="19"/>
              </w:rPr>
              <w:t xml:space="preserve">$47</w:t>
            </w:r>
          </w:p>
        </w:tc>
      </w:tr>
      <w:tr>
        <w:tc>
          <w:tcPr>
            <w:tcW w:type="dxa" w:w="3400"/>
            <w:shd w:fill="EAF1FB" w:color="auto" w:val="clear"/>
            <w:tcMar>
              <w:top w:type="dxa" w:w="80"/>
              <w:left w:type="dxa" w:w="120"/>
              <w:bottom w:type="dxa" w:w="80"/>
              <w:right w:type="dxa" w:w="120"/>
            </w:tcMar>
            <w:vAlign w:val="center"/>
          </w:tcPr>
          <w:p>
            <w:r>
              <w:rPr>
                <w:b w:val="false"/>
                <w:bCs w:val="false"/>
                <w:color w:val="000000"/>
                <w:sz w:val="19"/>
                <w:szCs w:val="19"/>
              </w:rPr>
              <w:t xml:space="preserve">Object storage (steady state)</w:t>
            </w:r>
          </w:p>
        </w:tc>
        <w:tc>
          <w:tcPr>
            <w:tcW w:type="dxa" w:w="2000"/>
            <w:shd w:fill="EAF1FB" w:color="auto" w:val="clear"/>
            <w:tcMar>
              <w:top w:type="dxa" w:w="80"/>
              <w:left w:type="dxa" w:w="120"/>
              <w:bottom w:type="dxa" w:w="80"/>
              <w:right w:type="dxa" w:w="120"/>
            </w:tcMar>
            <w:vAlign w:val="center"/>
          </w:tcPr>
          <w:p>
            <w:r>
              <w:rPr>
                <w:b w:val="false"/>
                <w:bCs w:val="false"/>
                <w:color w:val="000000"/>
                <w:sz w:val="19"/>
                <w:szCs w:val="19"/>
              </w:rPr>
              <w:t xml:space="preserve">$134</w:t>
            </w:r>
          </w:p>
        </w:tc>
        <w:tc>
          <w:tcPr>
            <w:tcW w:type="dxa" w:w="2800"/>
            <w:shd w:fill="EAF1FB" w:color="auto" w:val="clear"/>
            <w:tcMar>
              <w:top w:type="dxa" w:w="80"/>
              <w:left w:type="dxa" w:w="120"/>
              <w:bottom w:type="dxa" w:w="80"/>
              <w:right w:type="dxa" w:w="120"/>
            </w:tcMar>
            <w:vAlign w:val="center"/>
          </w:tcPr>
          <w:p>
            <w:r>
              <w:rPr>
                <w:b w:val="false"/>
                <w:bCs w:val="false"/>
                <w:color w:val="000000"/>
                <w:sz w:val="19"/>
                <w:szCs w:val="19"/>
              </w:rPr>
              <w:t xml:space="preserve">$134</w:t>
            </w:r>
          </w:p>
        </w:tc>
      </w:tr>
      <w:tr>
        <w:tc>
          <w:tcPr>
            <w:tcW w:type="dxa" w:w="3400"/>
            <w:shd w:fill="FFFFFF" w:color="auto" w:val="clear"/>
            <w:tcMar>
              <w:top w:type="dxa" w:w="80"/>
              <w:left w:type="dxa" w:w="120"/>
              <w:bottom w:type="dxa" w:w="80"/>
              <w:right w:type="dxa" w:w="120"/>
            </w:tcMar>
            <w:vAlign w:val="center"/>
          </w:tcPr>
          <w:p>
            <w:r>
              <w:rPr>
                <w:b w:val="false"/>
                <w:bCs w:val="false"/>
                <w:color w:val="000000"/>
                <w:sz w:val="19"/>
                <w:szCs w:val="19"/>
              </w:rPr>
              <w:t xml:space="preserve">AI evaluation</w:t>
            </w:r>
          </w:p>
        </w:tc>
        <w:tc>
          <w:tcPr>
            <w:tcW w:type="dxa" w:w="2000"/>
            <w:shd w:fill="FFFFFF" w:color="auto" w:val="clear"/>
            <w:tcMar>
              <w:top w:type="dxa" w:w="80"/>
              <w:left w:type="dxa" w:w="120"/>
              <w:bottom w:type="dxa" w:w="80"/>
              <w:right w:type="dxa" w:w="120"/>
            </w:tcMar>
            <w:vAlign w:val="center"/>
          </w:tcPr>
          <w:p>
            <w:r>
              <w:rPr>
                <w:b w:val="false"/>
                <w:bCs w:val="false"/>
                <w:color w:val="000000"/>
                <w:sz w:val="19"/>
                <w:szCs w:val="19"/>
              </w:rPr>
              <w:t xml:space="preserve">$174</w:t>
            </w:r>
          </w:p>
        </w:tc>
        <w:tc>
          <w:tcPr>
            <w:tcW w:type="dxa" w:w="2800"/>
            <w:shd w:fill="FFFFFF" w:color="auto" w:val="clear"/>
            <w:tcMar>
              <w:top w:type="dxa" w:w="80"/>
              <w:left w:type="dxa" w:w="120"/>
              <w:bottom w:type="dxa" w:w="80"/>
              <w:right w:type="dxa" w:w="120"/>
            </w:tcMar>
            <w:vAlign w:val="center"/>
          </w:tcPr>
          <w:p>
            <w:r>
              <w:rPr>
                <w:b w:val="false"/>
                <w:bCs w:val="false"/>
                <w:color w:val="000000"/>
                <w:sz w:val="19"/>
                <w:szCs w:val="19"/>
              </w:rPr>
              <w:t xml:space="preserve">$174</w:t>
            </w:r>
          </w:p>
        </w:tc>
      </w:tr>
      <w:tr>
        <w:tc>
          <w:tcPr>
            <w:tcW w:type="dxa" w:w="3400"/>
            <w:shd w:fill="EAF1FB" w:color="auto" w:val="clear"/>
            <w:tcMar>
              <w:top w:type="dxa" w:w="80"/>
              <w:left w:type="dxa" w:w="120"/>
              <w:bottom w:type="dxa" w:w="80"/>
              <w:right w:type="dxa" w:w="120"/>
            </w:tcMar>
            <w:vAlign w:val="center"/>
          </w:tcPr>
          <w:p>
            <w:r>
              <w:rPr>
                <w:b w:val="false"/>
                <w:bCs w:val="false"/>
                <w:color w:val="000000"/>
                <w:sz w:val="19"/>
                <w:szCs w:val="19"/>
              </w:rPr>
              <w:t xml:space="preserve">SMS authentication</w:t>
            </w:r>
          </w:p>
        </w:tc>
        <w:tc>
          <w:tcPr>
            <w:tcW w:type="dxa" w:w="2000"/>
            <w:shd w:fill="EAF1FB" w:color="auto" w:val="clear"/>
            <w:tcMar>
              <w:top w:type="dxa" w:w="80"/>
              <w:left w:type="dxa" w:w="120"/>
              <w:bottom w:type="dxa" w:w="80"/>
              <w:right w:type="dxa" w:w="120"/>
            </w:tcMar>
            <w:vAlign w:val="center"/>
          </w:tcPr>
          <w:p>
            <w:r>
              <w:rPr>
                <w:b w:val="false"/>
                <w:bCs w:val="false"/>
                <w:color w:val="000000"/>
                <w:sz w:val="19"/>
                <w:szCs w:val="19"/>
              </w:rPr>
              <w:t xml:space="preserve">$90</w:t>
            </w:r>
          </w:p>
        </w:tc>
        <w:tc>
          <w:tcPr>
            <w:tcW w:type="dxa" w:w="2800"/>
            <w:shd w:fill="EAF1FB" w:color="auto" w:val="clear"/>
            <w:tcMar>
              <w:top w:type="dxa" w:w="80"/>
              <w:left w:type="dxa" w:w="120"/>
              <w:bottom w:type="dxa" w:w="80"/>
              <w:right w:type="dxa" w:w="120"/>
            </w:tcMar>
            <w:vAlign w:val="center"/>
          </w:tcPr>
          <w:p>
            <w:r>
              <w:rPr>
                <w:b w:val="false"/>
                <w:bCs w:val="false"/>
                <w:color w:val="000000"/>
                <w:sz w:val="19"/>
                <w:szCs w:val="19"/>
              </w:rPr>
              <w:t xml:space="preserve">$90</w:t>
            </w:r>
          </w:p>
        </w:tc>
      </w:tr>
      <w:tr>
        <w:tc>
          <w:tcPr>
            <w:tcW w:type="dxa" w:w="3400"/>
            <w:shd w:fill="FFFFFF" w:color="auto" w:val="clear"/>
            <w:tcMar>
              <w:top w:type="dxa" w:w="80"/>
              <w:left w:type="dxa" w:w="120"/>
              <w:bottom w:type="dxa" w:w="80"/>
              <w:right w:type="dxa" w:w="120"/>
            </w:tcMar>
            <w:vAlign w:val="center"/>
          </w:tcPr>
          <w:p>
            <w:r>
              <w:rPr>
                <w:b w:val="false"/>
                <w:bCs w:val="false"/>
                <w:color w:val="000000"/>
                <w:sz w:val="19"/>
                <w:szCs w:val="19"/>
              </w:rPr>
              <w:t xml:space="preserve">Monitoring, domain, misc.</w:t>
            </w:r>
          </w:p>
        </w:tc>
        <w:tc>
          <w:tcPr>
            <w:tcW w:type="dxa" w:w="2000"/>
            <w:shd w:fill="FFFFFF" w:color="auto" w:val="clear"/>
            <w:tcMar>
              <w:top w:type="dxa" w:w="80"/>
              <w:left w:type="dxa" w:w="120"/>
              <w:bottom w:type="dxa" w:w="80"/>
              <w:right w:type="dxa" w:w="120"/>
            </w:tcMar>
            <w:vAlign w:val="center"/>
          </w:tcPr>
          <w:p>
            <w:r>
              <w:rPr>
                <w:b w:val="false"/>
                <w:bCs w:val="false"/>
                <w:color w:val="000000"/>
                <w:sz w:val="19"/>
                <w:szCs w:val="19"/>
              </w:rPr>
              <w:t xml:space="preserve">$6</w:t>
            </w:r>
          </w:p>
        </w:tc>
        <w:tc>
          <w:tcPr>
            <w:tcW w:type="dxa" w:w="2800"/>
            <w:shd w:fill="FFFFFF" w:color="auto" w:val="clear"/>
            <w:tcMar>
              <w:top w:type="dxa" w:w="80"/>
              <w:left w:type="dxa" w:w="120"/>
              <w:bottom w:type="dxa" w:w="80"/>
              <w:right w:type="dxa" w:w="120"/>
            </w:tcMar>
            <w:vAlign w:val="center"/>
          </w:tcPr>
          <w:p>
            <w:r>
              <w:rPr>
                <w:b w:val="false"/>
                <w:bCs w:val="false"/>
                <w:color w:val="000000"/>
                <w:sz w:val="19"/>
                <w:szCs w:val="19"/>
              </w:rPr>
              <w:t xml:space="preserve">$6</w:t>
            </w:r>
          </w:p>
        </w:tc>
      </w:tr>
      <w:tr>
        <w:tc>
          <w:tcPr>
            <w:tcW w:type="dxa" w:w="3400"/>
            <w:shd w:fill="D6E4F5" w:color="auto" w:val="clear"/>
            <w:tcMar>
              <w:top w:type="dxa" w:w="80"/>
              <w:left w:type="dxa" w:w="120"/>
              <w:bottom w:type="dxa" w:w="80"/>
              <w:right w:type="dxa" w:w="120"/>
            </w:tcMar>
            <w:vAlign w:val="center"/>
          </w:tcPr>
          <w:p>
            <w:r>
              <w:rPr>
                <w:b/>
                <w:bCs/>
                <w:color w:val="000000"/>
                <w:sz w:val="19"/>
                <w:szCs w:val="19"/>
              </w:rPr>
              <w:t xml:space="preserve">Total</w:t>
            </w:r>
          </w:p>
        </w:tc>
        <w:tc>
          <w:tcPr>
            <w:tcW w:type="dxa" w:w="2000"/>
            <w:shd w:fill="D6E4F5" w:color="auto" w:val="clear"/>
            <w:tcMar>
              <w:top w:type="dxa" w:w="80"/>
              <w:left w:type="dxa" w:w="120"/>
              <w:bottom w:type="dxa" w:w="80"/>
              <w:right w:type="dxa" w:w="120"/>
            </w:tcMar>
            <w:vAlign w:val="center"/>
          </w:tcPr>
          <w:p>
            <w:r>
              <w:rPr>
                <w:b/>
                <w:bCs/>
                <w:color w:val="000000"/>
                <w:sz w:val="19"/>
                <w:szCs w:val="19"/>
              </w:rPr>
              <w:t xml:space="preserve">≈ $563 / month</w:t>
            </w:r>
          </w:p>
        </w:tc>
        <w:tc>
          <w:tcPr>
            <w:tcW w:type="dxa" w:w="2800"/>
            <w:shd w:fill="D6E4F5" w:color="auto" w:val="clear"/>
            <w:tcMar>
              <w:top w:type="dxa" w:w="80"/>
              <w:left w:type="dxa" w:w="120"/>
              <w:bottom w:type="dxa" w:w="80"/>
              <w:right w:type="dxa" w:w="120"/>
            </w:tcMar>
            <w:vAlign w:val="center"/>
          </w:tcPr>
          <w:p>
            <w:r>
              <w:rPr>
                <w:b/>
                <w:bCs/>
                <w:color w:val="000000"/>
                <w:sz w:val="19"/>
                <w:szCs w:val="19"/>
              </w:rPr>
              <w:t xml:space="preserve">≈ $680 / month</w:t>
            </w:r>
          </w:p>
        </w:tc>
      </w:tr>
    </w:tbl>
    <w:p>
      <w:pPr>
        <w:pStyle w:val="Heading2"/>
        <w:spacing w:after="120" w:before="240"/>
      </w:pPr>
      <w:r>
        <w:t xml:space="preserve">5.1 Cost Per Property</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tblGrid>
      <w:tr>
        <w:tc>
          <w:tcPr>
            <w:tcW w:type="dxa" w:w="3400"/>
            <w:shd w:fill="1F5FA6" w:color="auto" w:val="clear"/>
            <w:tcMar>
              <w:top w:type="dxa" w:w="80"/>
              <w:left w:type="dxa" w:w="120"/>
              <w:bottom w:type="dxa" w:w="80"/>
              <w:right w:type="dxa" w:w="120"/>
            </w:tcMar>
            <w:vAlign w:val="center"/>
          </w:tcPr>
          <w:p>
            <w:r>
              <w:rPr>
                <w:b/>
                <w:bCs/>
                <w:color w:val="FFFFFF"/>
                <w:sz w:val="19"/>
                <w:szCs w:val="19"/>
              </w:rPr>
              <w:t xml:space="preserve">Basis</w:t>
            </w:r>
          </w:p>
        </w:tc>
        <w:tc>
          <w:tcPr>
            <w:tcW w:type="dxa" w:w="2800"/>
            <w:shd w:fill="1F5FA6" w:color="auto" w:val="clear"/>
            <w:tcMar>
              <w:top w:type="dxa" w:w="80"/>
              <w:left w:type="dxa" w:w="120"/>
              <w:bottom w:type="dxa" w:w="80"/>
              <w:right w:type="dxa" w:w="120"/>
            </w:tcMar>
            <w:vAlign w:val="center"/>
          </w:tcPr>
          <w:p>
            <w:r>
              <w:rPr>
                <w:b/>
                <w:bCs/>
                <w:color w:val="FFFFFF"/>
                <w:sz w:val="19"/>
                <w:szCs w:val="19"/>
              </w:rPr>
              <w:t xml:space="preserve">Cost per property / month</w:t>
            </w:r>
          </w:p>
        </w:tc>
      </w:tr>
      <w:tr>
        <w:tc>
          <w:tcPr>
            <w:tcW w:type="dxa" w:w="3400"/>
            <w:shd w:fill="FFFFFF" w:color="auto" w:val="clear"/>
            <w:tcMar>
              <w:top w:type="dxa" w:w="80"/>
              <w:left w:type="dxa" w:w="120"/>
              <w:bottom w:type="dxa" w:w="80"/>
              <w:right w:type="dxa" w:w="120"/>
            </w:tcMar>
            <w:vAlign w:val="center"/>
          </w:tcPr>
          <w:p>
            <w:r>
              <w:rPr>
                <w:b w:val="false"/>
                <w:bCs w:val="false"/>
                <w:color w:val="000000"/>
                <w:sz w:val="19"/>
                <w:szCs w:val="19"/>
              </w:rPr>
              <w:t xml:space="preserve">Lean total ÷ 50 properties</w:t>
            </w:r>
          </w:p>
        </w:tc>
        <w:tc>
          <w:tcPr>
            <w:tcW w:type="dxa" w:w="2800"/>
            <w:shd w:fill="FFFFFF" w:color="auto" w:val="clear"/>
            <w:tcMar>
              <w:top w:type="dxa" w:w="80"/>
              <w:left w:type="dxa" w:w="120"/>
              <w:bottom w:type="dxa" w:w="80"/>
              <w:right w:type="dxa" w:w="120"/>
            </w:tcMar>
            <w:vAlign w:val="center"/>
          </w:tcPr>
          <w:p>
            <w:r>
              <w:rPr>
                <w:b w:val="false"/>
                <w:bCs w:val="false"/>
                <w:color w:val="000000"/>
                <w:sz w:val="19"/>
                <w:szCs w:val="19"/>
              </w:rPr>
              <w:t xml:space="preserve">≈ $11.26</w:t>
            </w:r>
          </w:p>
        </w:tc>
      </w:tr>
      <w:tr>
        <w:tc>
          <w:tcPr>
            <w:tcW w:type="dxa" w:w="3400"/>
            <w:shd w:fill="EAF1FB" w:color="auto" w:val="clear"/>
            <w:tcMar>
              <w:top w:type="dxa" w:w="80"/>
              <w:left w:type="dxa" w:w="120"/>
              <w:bottom w:type="dxa" w:w="80"/>
              <w:right w:type="dxa" w:w="120"/>
            </w:tcMar>
            <w:vAlign w:val="center"/>
          </w:tcPr>
          <w:p>
            <w:r>
              <w:rPr>
                <w:b w:val="false"/>
                <w:bCs w:val="false"/>
                <w:color w:val="000000"/>
                <w:sz w:val="19"/>
                <w:szCs w:val="19"/>
              </w:rPr>
              <w:t xml:space="preserve">Recommended total ÷ 50 properties</w:t>
            </w:r>
          </w:p>
        </w:tc>
        <w:tc>
          <w:tcPr>
            <w:tcW w:type="dxa" w:w="2800"/>
            <w:shd w:fill="EAF1FB" w:color="auto" w:val="clear"/>
            <w:tcMar>
              <w:top w:type="dxa" w:w="80"/>
              <w:left w:type="dxa" w:w="120"/>
              <w:bottom w:type="dxa" w:w="80"/>
              <w:right w:type="dxa" w:w="120"/>
            </w:tcMar>
            <w:vAlign w:val="center"/>
          </w:tcPr>
          <w:p>
            <w:r>
              <w:rPr>
                <w:b w:val="false"/>
                <w:bCs w:val="false"/>
                <w:color w:val="000000"/>
                <w:sz w:val="19"/>
                <w:szCs w:val="19"/>
              </w:rPr>
              <w:t xml:space="preserve">≈ $13.60</w:t>
            </w:r>
          </w:p>
        </w:tc>
      </w:tr>
    </w:tbl>
    <w:p>
      <w:pPr>
        <w:spacing w:after="200"/>
      </w:pPr>
      <w:r>
        <w:rPr>
          <w:i/>
          <w:iCs/>
          <w:color w:val="6B7280"/>
          <w:sz w:val="18"/>
          <w:szCs w:val="18"/>
        </w:rPr>
        <w:t xml:space="preserve">This is the number to compare directly against your planned per-property subscription price to assess gross margin at this scale.</w:t>
      </w:r>
    </w:p>
    <w:p>
      <w:pPr>
        <w:pStyle w:val="Heading1"/>
        <w:spacing w:after="160" w:before="320"/>
      </w:pPr>
      <w:r>
        <w:t xml:space="preserve">6. Cost Optimization Strategy</w:t>
      </w:r>
    </w:p>
    <w:p>
      <w:pPr>
        <w:pStyle w:val="ListParagraph"/>
        <w:numPr>
          <w:ilvl w:val="0"/>
          <w:numId w:val="2"/>
        </w:numPr>
        <w:spacing w:after="80"/>
      </w:pPr>
      <w:r>
        <w:t xml:space="preserve">Downscale images before sending them to the AI provider — resolution has a direct, often nonlinear, effect on vision-model pricing, and is the single biggest lever on the largest cost line.</w:t>
      </w:r>
    </w:p>
    <w:p>
      <w:pPr>
        <w:pStyle w:val="ListParagraph"/>
        <w:numPr>
          <w:ilvl w:val="0"/>
          <w:numId w:val="2"/>
        </w:numPr>
        <w:spacing w:after="80"/>
      </w:pPr>
      <w:r>
        <w:t xml:space="preserve">Route high-volume, lower-complexity checks to a cheaper self-hosted Hugging Face model on GKE or Vertex AI Endpoints, reserving the more expensive commercial API for cases that need it.</w:t>
      </w:r>
    </w:p>
    <w:p>
      <w:pPr>
        <w:pStyle w:val="ListParagraph"/>
        <w:numPr>
          <w:ilvl w:val="0"/>
          <w:numId w:val="2"/>
        </w:numPr>
        <w:spacing w:after="80"/>
      </w:pPr>
      <w:r>
        <w:t xml:space="preserve">Apply Cloud Storage lifecycle rules from day one, so photo storage cost never accumulates unnecessarily in the most expensive tier.</w:t>
      </w:r>
    </w:p>
    <w:p>
      <w:pPr>
        <w:pStyle w:val="ListParagraph"/>
        <w:numPr>
          <w:ilvl w:val="0"/>
          <w:numId w:val="2"/>
        </w:numPr>
        <w:spacing w:after="80"/>
      </w:pPr>
      <w:r>
        <w:t xml:space="preserve">Defer the database read replica until dashboard query load, observed in Cloud Monitoring, actually competes with write traffic — don't provision for a bottleneck that hasn't appeared yet.</w:t>
      </w:r>
    </w:p>
    <w:p>
      <w:pPr>
        <w:pStyle w:val="ListParagraph"/>
        <w:numPr>
          <w:ilvl w:val="0"/>
          <w:numId w:val="2"/>
        </w:numPr>
        <w:spacing w:after="80"/>
      </w:pPr>
      <w:r>
        <w:t xml:space="preserve">Revisit SMS provider pricing directly against your users' actual countries — per-message cost varies significantly and this line item benefits the most from a real vendor quote rather than an estimate.</w:t>
      </w:r>
    </w:p>
    <w:p>
      <w:pPr>
        <w:pStyle w:val="ListParagraph"/>
        <w:numPr>
          <w:ilvl w:val="0"/>
          <w:numId w:val="2"/>
        </w:numPr>
        <w:spacing w:after="80"/>
      </w:pPr>
      <w:r>
        <w:t xml:space="preserve">Use GCP Committed Use Discounts once usage is stable and predictable, which can reduce compute and database costs meaningfully for workloads that no longer fluctuate month to month.</w:t>
      </w:r>
    </w:p>
    <w:p>
      <w:pPr>
        <w:pStyle w:val="Heading1"/>
        <w:spacing w:after="160" w:before="320"/>
      </w:pPr>
      <w:r>
        <w:t xml:space="preserve">7. Caveats &amp; Next Steps</w:t>
      </w:r>
    </w:p>
    <w:p>
      <w:pPr>
        <w:spacing w:after="140"/>
      </w:pPr>
      <w:r>
        <w:t xml:space="preserve">Every dollar figure in this report is an estimate built from published GCP rates and illustrative third-party API pricing, not a vendor quote. Before finalizing a budget:</w:t>
      </w:r>
    </w:p>
    <w:p>
      <w:pPr>
        <w:pStyle w:val="ListParagraph"/>
        <w:numPr>
          <w:ilvl w:val="0"/>
          <w:numId w:val="2"/>
        </w:numPr>
        <w:spacing w:after="80"/>
      </w:pPr>
      <w:r>
        <w:t xml:space="preserve">Confirm current GCP pricing for your specific region using the official Pricing Calculator, since rates vary by region and change periodically.</w:t>
      </w:r>
    </w:p>
    <w:p>
      <w:pPr>
        <w:pStyle w:val="ListParagraph"/>
        <w:numPr>
          <w:ilvl w:val="0"/>
          <w:numId w:val="2"/>
        </w:numPr>
        <w:spacing w:after="80"/>
      </w:pPr>
      <w:r>
        <w:t xml:space="preserve">Obtain a real rate from your chosen AI vision provider based on your actual image resolution and prompt length, rather than the illustrative per-evaluation cost used here.</w:t>
      </w:r>
    </w:p>
    <w:p>
      <w:pPr>
        <w:pStyle w:val="ListParagraph"/>
        <w:numPr>
          <w:ilvl w:val="0"/>
          <w:numId w:val="2"/>
        </w:numPr>
        <w:spacing w:after="80"/>
      </w:pPr>
      <w:r>
        <w:t xml:space="preserve">Obtain a real SMS pricing quote from your provider for your users' actual countries.</w:t>
      </w:r>
    </w:p>
    <w:p>
      <w:pPr>
        <w:pStyle w:val="ListParagraph"/>
        <w:numPr>
          <w:ilvl w:val="0"/>
          <w:numId w:val="2"/>
        </w:numPr>
        <w:spacing w:after="80"/>
      </w:pPr>
      <w:r>
        <w:t xml:space="preserve">Once the platform is live with real usage, replace every estimate in this report with actuals pulled from GCP's Billing Reports and your own per-evaluation cost-tracking table — this is the only way to know true cost per property with confidence.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1F5FA6"/>
      <w:sz w:val="30"/>
      <w:szCs w:val="30"/>
    </w:rPr>
  </w:style>
  <w:style w:type="paragraph" w:styleId="Heading2">
    <w:name w:val="Heading 2"/>
    <w:basedOn w:val="Normal"/>
    <w:next w:val="Normal"/>
    <w:pPr>
      <w:spacing w:after="100" w:before="220"/>
    </w:pPr>
    <w:rP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2026-09-23T10:00:18.418Z</dcterms:created>
  <dcterms:modified xsi:type="dcterms:W3CDTF">2026-09-23T10:00:18.418Z</dcterms:modified>
</cp:coreProperties>
</file>

<file path=docProps/custom.xml><?xml version="1.0" encoding="utf-8"?>
<Properties xmlns="http://schemas.openxmlformats.org/officeDocument/2006/custom-properties" xmlns:vt="http://schemas.openxmlformats.org/officeDocument/2006/docPropsVTypes"/>
</file>