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500"/>
        <w:jc w:val="center"/>
      </w:pPr>
      <w:r>
        <w:rPr>
          <w:b/>
          <w:bCs/>
          <w:color w:val="1F3A5F"/>
          <w:sz w:val="56"/>
          <w:szCs w:val="56"/>
        </w:rPr>
        <w:t xml:space="preserve">Rice Leaf Disease Detection</w:t>
      </w:r>
    </w:p>
    <w:p>
      <w:pPr>
        <w:spacing w:after="200"/>
        <w:jc w:val="center"/>
      </w:pPr>
      <w:r>
        <w:rPr>
          <w:i/>
          <w:iCs/>
          <w:color w:val="555555"/>
          <w:sz w:val="26"/>
          <w:szCs w:val="26"/>
        </w:rPr>
        <w:t xml:space="preserve">Finding and fixing a shortcut that made a 96.68% model unusable</w:t>
      </w:r>
    </w:p>
    <w:p>
      <w:pPr>
        <w:spacing w:after="300"/>
        <w:jc w:val="center"/>
      </w:pPr>
      <w:r>
        <w:rPr>
          <w:color w:val="555555"/>
          <w:sz w:val="22"/>
          <w:szCs w:val="22"/>
        </w:rPr>
        <w:t xml:space="preserve">Live demo: </w:t>
      </w:r>
      <w:hyperlink w:history="1" r:id="rIdvaqviwzo46gjl3vooainj">
        <w:r>
          <w:rPr>
            <w:rStyle w:val="Hyperlink"/>
            <w:sz w:val="22"/>
            <w:szCs w:val="22"/>
          </w:rPr>
          <w:t xml:space="preserve">undebuggedbit-rice-leaf-disease-detector.hf.space</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1F3A5F" w:sz="12"/>
              <w:bottom w:val="single" w:color="1F3A5F" w:sz="12"/>
              <w:right w:val="single" w:color="1F3A5F" w:sz="12"/>
            </w:tcBorders>
            <w:shd w:fill="F2F5F9" w:val="clear"/>
            <w:tcMar>
              <w:top w:type="dxa" w:w="200"/>
              <w:left w:type="dxa" w:w="240"/>
              <w:bottom w:type="dxa" w:w="200"/>
              <w:right w:type="dxa" w:w="240"/>
            </w:tcMar>
          </w:tcPr>
          <w:p>
            <w:pPr>
              <w:spacing w:after="90"/>
            </w:pPr>
            <w:r>
              <w:rPr>
                <w:b/>
                <w:bCs/>
                <w:color w:val="1F3A5F"/>
                <w:sz w:val="24"/>
                <w:szCs w:val="24"/>
              </w:rPr>
              <w:t xml:space="preserve">At a glance</w:t>
            </w:r>
          </w:p>
          <w:p>
            <w:pPr>
              <w:spacing w:after="70"/>
            </w:pPr>
            <w:r>
              <w:rPr>
                <w:b/>
                <w:bCs/>
              </w:rPr>
              <w:t xml:space="preserve">What it does. </w:t>
            </w:r>
            <w:r>
              <w:t xml:space="preserve">Classifies a rice-leaf photograph into 7 categories — 5 diseases, healthy, and not-a-rice-leaf — and returns a treatment recommendation. Two-stage ensemble of 5 models, Flask API, Docker, Hugging Face Spaces.</w:t>
            </w:r>
          </w:p>
          <w:p>
            <w:pPr>
              <w:spacing w:after="70"/>
            </w:pPr>
            <w:r>
              <w:rPr>
                <w:b/>
                <w:bCs/>
              </w:rPr>
              <w:t xml:space="preserve">What went wrong. </w:t>
            </w:r>
            <w:r>
              <w:t xml:space="preserve">The original model reported 96.68% accuracy and rejected real photographs of rice leaves at 99% confidence. It had learned to classify on </w:t>
            </w:r>
            <w:r>
              <w:rPr>
                <w:i/>
                <w:iCs/>
              </w:rPr>
              <w:t xml:space="preserve">background</w:t>
            </w:r>
            <w:r>
              <w:t xml:space="preserve"> — every training leaf was on plain paper, every negative was a busy stock photo — so background alone predicted the label.</w:t>
            </w:r>
          </w:p>
          <w:p>
            <w:pPr>
              <w:spacing w:after="70"/>
            </w:pPr>
            <w:r>
              <w:rPr>
                <w:b/>
                <w:bCs/>
              </w:rPr>
              <w:t xml:space="preserve">How it was proved. </w:t>
            </w:r>
            <w:r>
              <w:t xml:space="preserve">A controlled experiment holding the leaf pixels constant and varying only the surround. Identical pixels: correct diagnosis on plain background, rejection on a busy one. A competing hypothesis (aspect ratio) was tested first and disproved.</w:t>
            </w:r>
          </w:p>
          <w:p>
            <w:pPr>
              <w:spacing w:after="70"/>
            </w:pPr>
            <w:r>
              <w:rPr>
                <w:b/>
                <w:bCs/>
              </w:rPr>
              <w:t xml:space="preserve">What fixed it. </w:t>
            </w:r>
            <w:r>
              <w:t xml:space="preserve">Rebuilding the dataset, not the architecture. 350 hard negatives and 800 real field photographs filled the two empty cells of the data. Both stages retrained.</w:t>
            </w:r>
          </w:p>
          <w:p>
            <w:pPr>
              <w:spacing w:after="0"/>
            </w:pPr>
            <w:r>
              <w:rPr>
                <w:b/>
                <w:bCs/>
              </w:rPr>
              <w:t xml:space="preserve">Result. </w:t>
            </w:r>
            <w:r>
              <w:t xml:space="preserve">94.51% on a genuine held-out test set — </w:t>
            </w:r>
            <w:r>
              <w:rPr>
                <w:i/>
                <w:iCs/>
              </w:rPr>
              <w:t xml:space="preserve">lower</w:t>
            </w:r>
            <w:r>
              <w:t xml:space="preserve"> than the original 96.68%, and meaningful for the first time. Zero false rejections in 656 images. The three photographs that motivated the rebuild are now classified correctly. Stage 2, rebuilt the following day, moved from 98.18% validation to 95.29% on a held-out set — the same correction, applied twice.</w:t>
            </w:r>
          </w:p>
        </w:tc>
      </w:tr>
    </w:tbl>
    <w:p>
      <w:pPr>
        <w:spacing w:after="60" w:before="300"/>
        <w:jc w:val="center"/>
      </w:pPr>
      <w:r>
        <w:rPr>
          <w:b/>
          <w:bCs/>
          <w:sz w:val="24"/>
          <w:szCs w:val="24"/>
        </w:rPr>
        <w:t xml:space="preserve">Anurag Pandey</w:t>
      </w:r>
    </w:p>
    <w:p>
      <w:pPr>
        <w:spacing w:after="60"/>
        <w:jc w:val="center"/>
      </w:pPr>
      <w:r>
        <w:rPr>
          <w:color w:val="555555"/>
          <w:sz w:val="20"/>
          <w:szCs w:val="20"/>
        </w:rPr>
        <w:t xml:space="preserve">B.Tech CSE (AI/ML) · UPES Dehradun</w:t>
      </w:r>
    </w:p>
    <w:p>
      <w:pPr>
        <w:spacing w:after="0"/>
        <w:jc w:val="center"/>
      </w:pPr>
      <w:hyperlink w:history="1" r:id="rIdtcaqdqz17o2q6tt2pxhyt">
        <w:r>
          <w:rPr>
            <w:rStyle w:val="Hyperlink"/>
            <w:sz w:val="20"/>
            <w:szCs w:val="20"/>
          </w:rPr>
          <w:t xml:space="preserve">GitHub</w:t>
        </w:r>
      </w:hyperlink>
      <w:r>
        <w:rPr>
          <w:sz w:val="20"/>
          <w:szCs w:val="20"/>
        </w:rPr>
        <w:t xml:space="preserve">  ·  </w:t>
      </w:r>
      <w:hyperlink w:history="1" r:id="rId6y8uxgywypp6btyj95xfr">
        <w:r>
          <w:rPr>
            <w:rStyle w:val="Hyperlink"/>
            <w:sz w:val="20"/>
            <w:szCs w:val="20"/>
          </w:rPr>
          <w:t xml:space="preserve">LinkedIn</w:t>
        </w:r>
      </w:hyperlink>
      <w:r>
        <w:rPr>
          <w:sz w:val="20"/>
          <w:szCs w:val="20"/>
        </w:rPr>
        <w:t xml:space="preserve">  ·  Anurag.120453@stu.upes.ac.in</w:t>
      </w:r>
    </w:p>
    <w:p>
      <w:r>
        <w:br w:type="page"/>
      </w:r>
    </w:p>
    <w:p>
      <w:pPr>
        <w:pStyle w:val="Heading1"/>
        <w:spacing w:after="150" w:before="300"/>
      </w:pPr>
      <w:r>
        <w:t xml:space="preserve">1. The Problem</w:t>
      </w:r>
    </w:p>
    <w:p>
      <w:pPr>
        <w:spacing w:after="120"/>
      </w:pPr>
      <w:r>
        <w:t xml:space="preserve">Rice feeds more than half the planet. India grows roughly 130 million tonnes a year, and the industry-cited figure for annual yield lost to leaf disease is 10–15%. The loss concentrates on smallholder farms, where the bottleneck is diagnosis rather than treatment: an agronomist visit is expensive, lab diagnosis is slow, and visually similar diseases need completely different chemistry. Treating bacterial leaf blight with a fungicide wastes money and loses the crop.</w:t>
      </w:r>
    </w:p>
    <w:p>
      <w:pPr>
        <w:spacing w:after="120"/>
      </w:pPr>
      <w:r>
        <w:t xml:space="preserve">The question this project asks is narrow: can a free web tool give a non-expert a useful preliminary diagnosis from a phone photograph of a leaf?</w:t>
      </w:r>
    </w:p>
    <w:p>
      <w:pPr>
        <w:pStyle w:val="Heading1"/>
        <w:spacing w:after="150" w:before="300"/>
      </w:pPr>
      <w:r>
        <w:t xml:space="preserve">2. System Design</w:t>
      </w:r>
    </w:p>
    <w:p>
      <w:pPr>
        <w:spacing w:after="120"/>
      </w:pPr>
      <w:r>
        <w:t xml:space="preserve">Seven output classes — five diseases, healthy, and an explicit not-a-rice-leaf class so the system can refuse off-distribution input rather than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Class</w:t>
            </w:r>
          </w:p>
        </w:tc>
        <w:tc>
          <w:tcPr>
            <w:tcW w:type="dxa" w:w="3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Pathogen</w:t>
            </w:r>
          </w:p>
        </w:tc>
        <w:tc>
          <w:tcPr>
            <w:tcW w:type="dxa" w:w="42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Treatment returned</w:t>
            </w:r>
          </w:p>
        </w:tc>
      </w:tr>
      <w:tr>
        <w:trPr>
          <w:tblHeader w:val="false"/>
        </w:trPr>
        <w:tc>
          <w:tcPr>
            <w:tcW w:type="dxa" w:w="21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Bacterial Leaf Blight</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Bacterial — Xanthomonas oryzae</w:t>
            </w:r>
          </w:p>
        </w:tc>
        <w:tc>
          <w:tcPr>
            <w:tcW w:type="dxa" w:w="42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Resistant varieties, copper bactericides, drainage</w:t>
            </w:r>
          </w:p>
        </w:tc>
      </w:tr>
      <w:tr>
        <w:trPr>
          <w:tblHeader w:val="false"/>
        </w:trPr>
        <w:tc>
          <w:tcPr>
            <w:tcW w:type="dxa" w:w="21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Brown Spot</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Fungal — Bipolaris oryzae</w:t>
            </w:r>
          </w:p>
        </w:tc>
        <w:tc>
          <w:tcPr>
            <w:tcW w:type="dxa" w:w="42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Fungicide, disease-free seed, potassium management</w:t>
            </w:r>
          </w:p>
        </w:tc>
      </w:tr>
      <w:tr>
        <w:trPr>
          <w:tblHeader w:val="false"/>
        </w:trPr>
        <w:tc>
          <w:tcPr>
            <w:tcW w:type="dxa" w:w="21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Leaf Blast</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Fungal — Magnaporthe oryzae</w:t>
            </w:r>
          </w:p>
        </w:tc>
        <w:tc>
          <w:tcPr>
            <w:tcW w:type="dxa" w:w="42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Resistant varieties, systemic fungicide, reduce nitrogen</w:t>
            </w:r>
          </w:p>
        </w:tc>
      </w:tr>
      <w:tr>
        <w:trPr>
          <w:tblHeader w:val="false"/>
        </w:trPr>
        <w:tc>
          <w:tcPr>
            <w:tcW w:type="dxa" w:w="21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Leaf Scald</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Fungal — Microdochium oryzae</w:t>
            </w:r>
          </w:p>
        </w:tc>
        <w:tc>
          <w:tcPr>
            <w:tcW w:type="dxa" w:w="42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Resistant varieties, remove debris, fungicide</w:t>
            </w:r>
          </w:p>
        </w:tc>
      </w:tr>
      <w:tr>
        <w:trPr>
          <w:tblHeader w:val="false"/>
        </w:trPr>
        <w:tc>
          <w:tcPr>
            <w:tcW w:type="dxa" w:w="21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Narrow Brown Spot</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Fungal — Cercospora janseana</w:t>
            </w:r>
          </w:p>
        </w:tc>
        <w:tc>
          <w:tcPr>
            <w:tcW w:type="dxa" w:w="42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Soil fertility, targeted fungicide</w:t>
            </w:r>
          </w:p>
        </w:tc>
      </w:tr>
      <w:tr>
        <w:trPr>
          <w:tblHeader w:val="false"/>
        </w:trPr>
        <w:tc>
          <w:tcPr>
            <w:tcW w:type="dxa" w:w="21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Healthy Leaf</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w:t>
            </w:r>
          </w:p>
        </w:tc>
        <w:tc>
          <w:tcPr>
            <w:tcW w:type="dxa" w:w="42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Continue monitoring</w:t>
            </w:r>
          </w:p>
        </w:tc>
      </w:tr>
      <w:tr>
        <w:trPr>
          <w:tblHeader w:val="false"/>
        </w:trPr>
        <w:tc>
          <w:tcPr>
            <w:tcW w:type="dxa" w:w="21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Not a Rice Leaf</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w:t>
            </w:r>
          </w:p>
        </w:tc>
        <w:tc>
          <w:tcPr>
            <w:tcW w:type="dxa" w:w="42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Reject and prompt re-upload</w:t>
            </w:r>
          </w:p>
        </w:tc>
      </w:tr>
    </w:tbl>
    <w:p>
      <w:pPr>
        <w:pStyle w:val="Heading2"/>
        <w:spacing w:after="110" w:before="220"/>
      </w:pPr>
      <w:r>
        <w:t xml:space="preserve">Two stages</w:t>
      </w:r>
    </w:p>
    <w:p>
      <w:pPr>
        <w:spacing w:after="120"/>
      </w:pPr>
      <w:r>
        <w:t xml:space="preserve">Stage 1 is a 3-model ensemble (EfficientNet-B3, DenseNet-121, MobileNetV3-Large) that assigns one of the 7 classes by weighted soft voting. If it predicts a disease and its confidence falls below 0.85, the image is routed to Stage 2 — a 2-model ensemble (ViT-Base, ConvNeXt-Tiny) that re-classifies among the 5 disease classes only. Stage 2 is skipped on healthy leaves, rejections, and confident predictions, so the average request runs 3 models rather than 5.</w:t>
      </w:r>
    </w:p>
    <w:p>
      <w:pPr>
        <w:spacing w:after="120"/>
      </w:pPr>
      <w:r>
        <w:t xml:space="preserve">That routing threshold was 0.95 until a calibration study measured it. Averaging three softmax outputs pulls the maximum down whenever the members disagree slightly, even when the argmax stays correct, so the ensemble is systematically under-confident: it rarely cleared 0.95, and Stage 2 was running on more than half of all requests. In the 0.80–0.90 band Stage 1 was already 100% accurate across 120 validation images, so routing those onward could only make them worse.</w:t>
      </w:r>
    </w:p>
    <w:p>
      <w:pPr>
        <w:spacing w:after="120"/>
      </w:pPr>
      <w:r>
        <w:t xml:space="preserve">Stage 2 abstains rather than guessing. Its output space excludes healthy and not-a-rice-leaf, so it cannot correct a Stage 1 false positive — only relabel it. When Stage 2 is itself below 0.45 the API returns "uncertain" instead of forcing a disease label.</w:t>
      </w:r>
    </w:p>
    <w:p>
      <w:r>
        <w:br w:type="page"/>
      </w:r>
    </w:p>
    <w:p>
      <w:pPr>
        <w:pStyle w:val="Heading1"/>
        <w:spacing w:after="150" w:before="300"/>
      </w:pPr>
      <w:r>
        <w:t xml:space="preserve">3. The Failure and the Diagnosis</w:t>
      </w:r>
    </w:p>
    <w:p>
      <w:pPr>
        <w:spacing w:after="120"/>
      </w:pPr>
      <w:r>
        <w:t xml:space="preserve">A year after shipping, the deployed model rejected a real photograph of a diseased rice leaf as "not a rice leaf" at 99% confidence — while still scoring 96.68% on validation data.</w:t>
      </w:r>
    </w:p>
    <w:p>
      <w:pPr>
        <w:pStyle w:val="Heading2"/>
        <w:spacing w:after="110" w:before="220"/>
      </w:pPr>
      <w:r>
        <w:t xml:space="preserve">First hypothesis: aspect ratio — disproved</w:t>
      </w:r>
    </w:p>
    <w:p>
      <w:pPr>
        <w:spacing w:after="120"/>
      </w:pPr>
      <w:r>
        <w:t xml:space="preserve">All 2,100 images in the 6 rice classes are exactly 1600×1600. 93% of the not_rice_leaf class is non-square. Since training resized by squashing rather than cropping, a shape-based shortcut was available. Testing it meant distorting a known-good training image to 4:3, 16:9, 3:4 and letterbox. The model returned the correct disease at 100% confidence in every variant. The correlation existed in the data; the model had not used it.</w:t>
      </w:r>
    </w:p>
    <w:p>
      <w:pPr>
        <w:pStyle w:val="Heading2"/>
        <w:spacing w:after="110" w:before="220"/>
      </w:pPr>
      <w:r>
        <w:t xml:space="preserve">Second hypothesis: background — confirmed</w:t>
      </w:r>
    </w:p>
    <w:p>
      <w:pPr>
        <w:spacing w:after="120"/>
      </w:pPr>
      <w:r>
        <w:t xml:space="preserve">Inspecting the images directly made the artifact obvious. Every image in the 6 rice classes is a single isolated leaf on plain light paper. The not_rice_leaf class is stock photography of busy scenes: gardens, dogs on grass, bowls of food, a mountain range, a green sports car. A sample of 36 negatives contained no leaf close-up at all.</w:t>
      </w:r>
    </w:p>
    <w:p>
      <w:pPr>
        <w:spacing w:after="120"/>
      </w:pPr>
      <w:r>
        <w:t xml:space="preserve">As a 2×2 grid, only the diagonal was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
            </w:r>
          </w:p>
        </w:tc>
        <w:tc>
          <w:tcPr>
            <w:tcW w:type="dxa" w:w="358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Plain background</w:t>
            </w:r>
          </w:p>
        </w:tc>
        <w:tc>
          <w:tcPr>
            <w:tcW w:type="dxa" w:w="358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Busy background</w:t>
            </w:r>
          </w:p>
        </w:tc>
      </w:tr>
      <w:tr>
        <w:trPr>
          <w:tblHeader w:val="false"/>
        </w:trPr>
        <w:tc>
          <w:tcPr>
            <w:tcW w:type="dxa" w:w="22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Rice leaf</w:t>
            </w:r>
          </w:p>
        </w:tc>
        <w:tc>
          <w:tcPr>
            <w:tcW w:type="dxa" w:w="358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2,100 studio images</w:t>
            </w:r>
          </w:p>
        </w:tc>
        <w:tc>
          <w:tcPr>
            <w:tcW w:type="dxa" w:w="358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EMPTY</w:t>
            </w:r>
          </w:p>
        </w:tc>
      </w:tr>
      <w:tr>
        <w:trPr>
          <w:tblHeader w:val="false"/>
        </w:trPr>
        <w:tc>
          <w:tcPr>
            <w:tcW w:type="dxa" w:w="22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Not rice</w:t>
            </w:r>
          </w:p>
        </w:tc>
        <w:tc>
          <w:tcPr>
            <w:tcW w:type="dxa" w:w="358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EMPTY</w:t>
            </w:r>
          </w:p>
        </w:tc>
        <w:tc>
          <w:tcPr>
            <w:tcW w:type="dxa" w:w="358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420 stock photos</w:t>
            </w:r>
          </w:p>
        </w:tc>
      </w:tr>
    </w:tbl>
    <w:p>
      <w:pPr>
        <w:spacing w:after="120"/>
      </w:pPr>
      <w:r>
        <w:t xml:space="default"/>
      </w:r>
    </w:p>
    <w:p>
      <w:pPr>
        <w:spacing w:after="120"/>
      </w:pPr>
      <w:r>
        <w:t xml:space="preserve">Background alone separated the two groups perfectly, so the network never had to learn leaf morphology.</w:t>
      </w:r>
    </w:p>
    <w:p>
      <w:pPr>
        <w:pStyle w:val="Heading2"/>
        <w:spacing w:after="110" w:before="220"/>
      </w:pPr>
      <w:r>
        <w:t xml:space="preserve">The decisive experiment</w:t>
      </w:r>
    </w:p>
    <w:p>
      <w:pPr>
        <w:spacing w:after="120"/>
      </w:pPr>
      <w:r>
        <w:t xml:space="preserve">Two directions. First, strip the background out of a failing field photograph: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Input</w:t>
            </w:r>
          </w:p>
        </w:tc>
        <w:tc>
          <w:tcPr>
            <w:tcW w:type="dxa" w:w="3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Prediction</w:t>
            </w:r>
          </w:p>
        </w:tc>
        <w:tc>
          <w:tcPr>
            <w:tcW w:type="dxa" w:w="23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P(not_rice_leaf)</w:t>
            </w:r>
          </w:p>
        </w:tc>
      </w:tr>
      <w:tr>
        <w:trPr>
          <w:tblHeader w:val="false"/>
        </w:trPr>
        <w:tc>
          <w:tcPr>
            <w:tcW w:type="dxa" w:w="4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Full field photograph</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not_rice_leaf</w:t>
            </w:r>
          </w:p>
        </w:tc>
        <w:tc>
          <w:tcPr>
            <w:tcW w:type="dxa" w:w="23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99.08%</w:t>
            </w:r>
          </w:p>
        </w:tc>
      </w:tr>
      <w:tr>
        <w:trPr>
          <w:tblHeader w:val="false"/>
        </w:trPr>
        <w:tc>
          <w:tcPr>
            <w:tcW w:type="dxa" w:w="4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Cropped to leaf cluster</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brown_spot</w:t>
            </w:r>
          </w:p>
        </w:tc>
        <w:tc>
          <w:tcPr>
            <w:tcW w:type="dxa" w:w="23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0.65%</w:t>
            </w:r>
          </w:p>
        </w:tc>
      </w:tr>
      <w:tr>
        <w:trPr>
          <w:tblHeader w:val="false"/>
        </w:trPr>
        <w:tc>
          <w:tcPr>
            <w:tcW w:type="dxa" w:w="4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Single blade, no background</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brown_spot</w:t>
            </w:r>
          </w:p>
        </w:tc>
        <w:tc>
          <w:tcPr>
            <w:tcW w:type="dxa" w:w="23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1.12%</w:t>
            </w:r>
          </w:p>
        </w:tc>
      </w:tr>
    </w:tbl>
    <w:p>
      <w:pPr>
        <w:spacing w:after="120"/>
      </w:pPr>
      <w:r>
        <w:t xml:space="default"/>
      </w:r>
    </w:p>
    <w:p>
      <w:pPr>
        <w:spacing w:after="120"/>
      </w:pPr>
      <w:r>
        <w:t xml:space="preserve">Second, the reverse — identical leaf pixels, only the surround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rPr>
          <w:tblHeader/>
        </w:trPr>
        <w:tc>
          <w:tcPr>
            <w:tcW w:type="dxa" w:w="44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Input</w:t>
            </w:r>
          </w:p>
        </w:tc>
        <w:tc>
          <w:tcPr>
            <w:tcW w:type="dxa" w:w="29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Prediction</w:t>
            </w:r>
          </w:p>
        </w:tc>
        <w:tc>
          <w:tcPr>
            <w:tcW w:type="dxa" w:w="2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Confidence</w:t>
            </w:r>
          </w:p>
        </w:tc>
      </w:tr>
      <w:tr>
        <w:trPr>
          <w:tblHeader w:val="false"/>
        </w:trPr>
        <w:tc>
          <w:tcPr>
            <w:tcW w:type="dxa" w:w="44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Training leaf, untouched</w:t>
            </w:r>
          </w:p>
        </w:tc>
        <w:tc>
          <w:tcPr>
            <w:tcW w:type="dxa" w:w="29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bacterial_leaf_blight</w:t>
            </w:r>
          </w:p>
        </w:tc>
        <w:tc>
          <w:tcPr>
            <w:tcW w:type="dxa" w:w="2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99.87%</w:t>
            </w:r>
          </w:p>
        </w:tc>
      </w:tr>
      <w:tr>
        <w:trPr>
          <w:tblHeader w:val="false"/>
        </w:trPr>
        <w:tc>
          <w:tcPr>
            <w:tcW w:type="dxa" w:w="4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Same leaf on a BUSY background</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not_rice_leaf</w:t>
            </w:r>
          </w:p>
        </w:tc>
        <w:tc>
          <w:tcPr>
            <w:tcW w:type="dxa" w:w="2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84.21%</w:t>
            </w:r>
          </w:p>
        </w:tc>
      </w:tr>
      <w:tr>
        <w:trPr>
          <w:tblHeader w:val="false"/>
        </w:trPr>
        <w:tc>
          <w:tcPr>
            <w:tcW w:type="dxa" w:w="44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Same leaf on a PLAIN background</w:t>
            </w:r>
          </w:p>
        </w:tc>
        <w:tc>
          <w:tcPr>
            <w:tcW w:type="dxa" w:w="29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bacterial_leaf_blight</w:t>
            </w:r>
          </w:p>
        </w:tc>
        <w:tc>
          <w:tcPr>
            <w:tcW w:type="dxa" w:w="2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79.42%</w:t>
            </w:r>
          </w:p>
        </w:tc>
      </w:tr>
    </w:tbl>
    <w:p>
      <w:pPr>
        <w:spacing w:after="120"/>
      </w:pPr>
      <w:r>
        <w:t xml:space="default"/>
      </w:r>
    </w:p>
    <w:p>
      <w:pPr>
        <w:spacing w:after="120"/>
      </w:pPr>
      <w:r>
        <w:t xml:space="preserve">The leaf pixels are byte-identical between the last two rows. Swapping only the background flips the verdict from a correct diagnosis to outright rejection.</w:t>
      </w:r>
    </w:p>
    <w:p>
      <w:pPr>
        <w:pStyle w:val="Heading2"/>
        <w:spacing w:after="110" w:before="220"/>
      </w:pPr>
      <w:r>
        <w:t xml:space="preserve">A second bug found on the way</w:t>
      </w:r>
    </w:p>
    <w:p>
      <w:pPr>
        <w:spacing w:after="120"/>
      </w:pPr>
      <w:r>
        <w:t xml:space="preserve">The training loop saved its best checkpoint with model.state_dict().copy() — a shallow copy. The new dictionary holds references to the same tensors, and Adam updates parameters in place, so the "snapshot" tracked the live weights. Every checkpoint contained the final epoch's weights while being labelled with the best epoch's accuracy. ConvNeXt-Tiny was overstated by 2.5 points, which is larger than the 0.91% margin that had justified an earlier architecture decision.</w:t>
      </w:r>
    </w:p>
    <w:p>
      <w:r>
        <w:br w:type="page"/>
      </w:r>
    </w:p>
    <w:p>
      <w:pPr>
        <w:pStyle w:val="Heading1"/>
        <w:spacing w:after="150" w:before="300"/>
      </w:pPr>
      <w:r>
        <w:t xml:space="preserve">4. The Fix: Rebuilding the Data</w:t>
      </w:r>
    </w:p>
    <w:p>
      <w:pPr>
        <w:spacing w:after="120"/>
      </w:pPr>
      <w:r>
        <w:t xml:space="preserve">No inference-time workaround exists for a model that has learned the wrong feature. Both empty cells of the grid had to be filled.</w:t>
      </w:r>
    </w:p>
    <w:p>
      <w:pPr>
        <w:pStyle w:val="ListParagraph"/>
        <w:numPr>
          <w:ilvl w:val="0"/>
          <w:numId w:val="2"/>
        </w:numPr>
        <w:spacing w:after="80"/>
      </w:pPr>
      <w:r>
        <w:rPr>
          <w:b/>
          <w:bCs/>
        </w:rPr>
        <w:t xml:space="preserve">Hard negatives — 350 images. </w:t>
      </w:r>
      <w:r>
        <w:t xml:space="preserve">Non-rice leaves from 14 species (PlantVillage: maize, tomato, potato, grape, soybean, apple…) photographed on plain backgrounds and labelled not_rice_leaf. Once a maize leaf on white paper is a negative, "plain background ⇒ rice" stops working and the network has to learn what distinguishes a rice blade from another monocot blade.</w:t>
      </w:r>
    </w:p>
    <w:p>
      <w:pPr>
        <w:pStyle w:val="ListParagraph"/>
        <w:numPr>
          <w:ilvl w:val="0"/>
          <w:numId w:val="2"/>
        </w:numPr>
        <w:spacing w:after="80"/>
      </w:pPr>
      <w:r>
        <w:rPr>
          <w:b/>
          <w:bCs/>
        </w:rPr>
        <w:t xml:space="preserve">Field photographs — 800 images. </w:t>
      </w:r>
      <w:r>
        <w:t xml:space="preserve">Real paddy-field imagery from the Paddy Doctor dataset (Tirunelveli, Tamil Nadu, smartphone-captured), merged into four disease classes at 200 each. This kills "busy background ⇒ not rice", which hard negatives alone would have left intact.</w:t>
      </w:r>
    </w:p>
    <w:p>
      <w:pPr>
        <w:pStyle w:val="ListParagraph"/>
        <w:numPr>
          <w:ilvl w:val="0"/>
          <w:numId w:val="2"/>
        </w:numPr>
        <w:spacing w:after="80"/>
      </w:pPr>
      <w:r>
        <w:rPr>
          <w:b/>
          <w:bCs/>
        </w:rPr>
        <w:t xml:space="preserve">Resolution normalisation. </w:t>
      </w:r>
      <w:r>
        <w:t xml:space="preserve">Rice images are 1600×1600, PlantVillage is 256×256. Left alone, the network could read resolution instead of background — one shortcut swapped for another. Every image is centre-cropped square and re-encoded at 800×800 JPEG q92.</w:t>
      </w:r>
    </w:p>
    <w:p>
      <w:pPr>
        <w:pStyle w:val="ListParagraph"/>
        <w:numPr>
          <w:ilvl w:val="0"/>
          <w:numId w:val="2"/>
        </w:numPr>
        <w:spacing w:after="80"/>
      </w:pPr>
      <w:r>
        <w:rPr>
          <w:b/>
          <w:bCs/>
        </w:rPr>
        <w:t xml:space="preserve">A real test set. </w:t>
      </w:r>
      <w:r>
        <w:t xml:space="preserve">70/15/15, stratified by class AND by source, so every split contains both studio and field examples of every class. Touched exactly once.</w:t>
      </w:r>
    </w:p>
    <w:p>
      <w:pPr>
        <w:spacing w:after="120"/>
      </w:pPr>
      <w:r>
        <w:t xml:space="default"/>
      </w:r>
    </w:p>
    <w:p>
      <w:pPr>
        <w:spacing w:after="120"/>
      </w:pPr>
      <w:r>
        <w:rPr>
          <w:b/>
          <w:bCs/>
        </w:rPr>
        <w:t xml:space="preserve">Final Stage 1 dataset — 4,302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800"/>
        <w:gridCol w:w="1860"/>
      </w:tblGrid>
      <w:tr>
        <w:trPr>
          <w:tblHeader/>
        </w:trPr>
        <w:tc>
          <w:tcPr>
            <w:tcW w:type="dxa" w:w="3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Class</w:t>
            </w:r>
          </w:p>
        </w:tc>
        <w:tc>
          <w:tcPr>
            <w:tcW w:type="dxa" w:w="27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Studio</w:t>
            </w:r>
          </w:p>
        </w:tc>
        <w:tc>
          <w:tcPr>
            <w:tcW w:type="dxa" w:w="18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Field</w:t>
            </w:r>
          </w:p>
        </w:tc>
        <w:tc>
          <w:tcPr>
            <w:tcW w:type="dxa" w:w="18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Total</w:t>
            </w:r>
          </w:p>
        </w:tc>
      </w:tr>
      <w:tr>
        <w:trPr>
          <w:tblHeader w:val="false"/>
        </w:trPr>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Bacterial Leaf Blight</w:t>
            </w:r>
          </w:p>
        </w:tc>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438</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200</w:t>
            </w:r>
          </w:p>
        </w:tc>
        <w:tc>
          <w:tcPr>
            <w:tcW w:type="dxa" w:w="18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638</w:t>
            </w:r>
          </w:p>
        </w:tc>
      </w:tr>
      <w:tr>
        <w:trPr>
          <w:tblHeader w:val="false"/>
        </w:trPr>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Brown Spot</w:t>
            </w:r>
          </w:p>
        </w:tc>
        <w:tc>
          <w:tcPr>
            <w:tcW w:type="dxa" w:w="27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438</w:t>
            </w:r>
          </w:p>
        </w:tc>
        <w:tc>
          <w:tcPr>
            <w:tcW w:type="dxa" w:w="18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200</w:t>
            </w:r>
          </w:p>
        </w:tc>
        <w:tc>
          <w:tcPr>
            <w:tcW w:type="dxa" w:w="18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638</w:t>
            </w:r>
          </w:p>
        </w:tc>
      </w:tr>
      <w:tr>
        <w:trPr>
          <w:tblHeader w:val="false"/>
        </w:trPr>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Healthy</w:t>
            </w:r>
          </w:p>
        </w:tc>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438</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200</w:t>
            </w:r>
          </w:p>
        </w:tc>
        <w:tc>
          <w:tcPr>
            <w:tcW w:type="dxa" w:w="18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638</w:t>
            </w:r>
          </w:p>
        </w:tc>
      </w:tr>
      <w:tr>
        <w:trPr>
          <w:tblHeader w:val="false"/>
        </w:trPr>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Leaf Blast</w:t>
            </w:r>
          </w:p>
        </w:tc>
        <w:tc>
          <w:tcPr>
            <w:tcW w:type="dxa" w:w="27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438</w:t>
            </w:r>
          </w:p>
        </w:tc>
        <w:tc>
          <w:tcPr>
            <w:tcW w:type="dxa" w:w="18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200</w:t>
            </w:r>
          </w:p>
        </w:tc>
        <w:tc>
          <w:tcPr>
            <w:tcW w:type="dxa" w:w="18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638</w:t>
            </w:r>
          </w:p>
        </w:tc>
      </w:tr>
      <w:tr>
        <w:trPr>
          <w:tblHeader w:val="false"/>
        </w:trPr>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Leaf Scald</w:t>
            </w:r>
          </w:p>
        </w:tc>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438</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w:t>
            </w:r>
          </w:p>
        </w:tc>
        <w:tc>
          <w:tcPr>
            <w:tcW w:type="dxa" w:w="18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438</w:t>
            </w:r>
          </w:p>
        </w:tc>
      </w:tr>
      <w:tr>
        <w:trPr>
          <w:tblHeader w:val="false"/>
        </w:trPr>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Narrow Brown Spot</w:t>
            </w:r>
          </w:p>
        </w:tc>
        <w:tc>
          <w:tcPr>
            <w:tcW w:type="dxa" w:w="27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438</w:t>
            </w:r>
          </w:p>
        </w:tc>
        <w:tc>
          <w:tcPr>
            <w:tcW w:type="dxa" w:w="18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w:t>
            </w:r>
          </w:p>
        </w:tc>
        <w:tc>
          <w:tcPr>
            <w:tcW w:type="dxa" w:w="18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438</w:t>
            </w:r>
          </w:p>
        </w:tc>
      </w:tr>
      <w:tr>
        <w:trPr>
          <w:tblHeader w:val="false"/>
        </w:trPr>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Not a Rice Leaf</w:t>
            </w:r>
          </w:p>
        </w:tc>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350 hard + 524 stock</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
            </w:r>
          </w:p>
        </w:tc>
        <w:tc>
          <w:tcPr>
            <w:tcW w:type="dxa" w:w="18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874</w:t>
            </w:r>
          </w:p>
        </w:tc>
      </w:tr>
    </w:tbl>
    <w:p>
      <w:pPr>
        <w:spacing w:after="120"/>
      </w:pPr>
      <w:r>
        <w:t xml:space="default"/>
      </w:r>
    </w:p>
    <w:p>
      <w:pPr>
        <w:spacing w:after="120"/>
      </w:pPr>
      <w:r>
        <w:t xml:space="preserve">Stage 1 was retrained first, alone. The not_rice_leaf class lives entirely in Stage 1, so that is where the shortcut was, and retraining Stage 2 at the same time would have changed two things at once for no diagnostic gain.</w:t>
      </w:r>
    </w:p>
    <w:p>
      <w:pPr>
        <w:spacing w:after="120"/>
      </w:pPr>
      <w:r>
        <w:t xml:space="preserve">Stage 2 was rebuilt the next day for an unrelated reason: it had no held-out test set, and it had only ever trained on studio images, so nobody knew what it cost when Stage 1 routed a field photograph to it. It reuses Stage 1’s exact split assignment with healthy and not_rice_leaf filtered out — a fresh split would have leaked images across the train/test boundary relative to Stage 1.</w:t>
      </w:r>
    </w:p>
    <w:p>
      <w:pPr>
        <w:spacing w:after="120"/>
      </w:pPr>
      <w:r>
        <w:t xml:space="preserve">Training fixes applied at the same time: deep-copied checkpoints, freezing by named module rather than parameter index, per-class focal alpha from inverse frequency (the original used a uniform α=1 that did no balancing at all), and learning-rate scheduling on the same metric used for model selection, with early stopping.</w:t>
      </w:r>
    </w:p>
    <w:p>
      <w:r>
        <w:br w:type="page"/>
      </w:r>
    </w:p>
    <w:p>
      <w:pPr>
        <w:pStyle w:val="Heading1"/>
        <w:spacing w:after="150" w:before="300"/>
      </w:pPr>
      <w:r>
        <w:t xml:space="preserve">5. Results</w:t>
      </w:r>
    </w:p>
    <w:p>
      <w:pPr>
        <w:pStyle w:val="Heading2"/>
        <w:spacing w:after="110" w:before="220"/>
      </w:pPr>
      <w:r>
        <w:t xml:space="preserve">Stage 1</w:t>
      </w:r>
    </w:p>
    <w:p>
      <w:pPr>
        <w:spacing w:after="120"/>
      </w:pPr>
      <w:r>
        <w:t xml:space="preserve">Measured once on the held-out test set, 656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Metric</w:t>
            </w:r>
          </w:p>
        </w:tc>
        <w:tc>
          <w:tcPr>
            <w:tcW w:type="dxa" w:w="3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Original (Nov 2025)</w:t>
            </w:r>
          </w:p>
        </w:tc>
        <w:tc>
          <w:tcPr>
            <w:tcW w:type="dxa" w:w="29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Rebuilt (Aug 2026)</w:t>
            </w:r>
          </w:p>
        </w:tc>
      </w:tr>
      <w:tr>
        <w:trPr>
          <w:tblHeader w:val="false"/>
        </w:trPr>
        <w:tc>
          <w:tcPr>
            <w:tcW w:type="dxa" w:w="3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Headline accuracy</w:t>
            </w:r>
          </w:p>
        </w:tc>
        <w:tc>
          <w:tcPr>
            <w:tcW w:type="dxa" w:w="3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96.68% validation</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94.51% held-out test</w:t>
            </w:r>
          </w:p>
        </w:tc>
      </w:tr>
      <w:tr>
        <w:trPr>
          <w:tblHeader w:val="false"/>
        </w:trPr>
        <w:tc>
          <w:tcPr>
            <w:tcW w:type="dxa" w:w="34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Held-out test set</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none</w:t>
            </w:r>
          </w:p>
        </w:tc>
        <w:tc>
          <w:tcPr>
            <w:tcW w:type="dxa" w:w="29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yes, evaluated once</w:t>
            </w:r>
          </w:p>
        </w:tc>
      </w:tr>
      <w:tr>
        <w:trPr>
          <w:tblHeader w:val="false"/>
        </w:trPr>
        <w:tc>
          <w:tcPr>
            <w:tcW w:type="dxa" w:w="34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Studio images</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not separated</w:t>
            </w:r>
          </w:p>
        </w:tc>
        <w:tc>
          <w:tcPr>
            <w:tcW w:type="dxa" w:w="29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96.52%</w:t>
            </w:r>
          </w:p>
        </w:tc>
      </w:tr>
      <w:tr>
        <w:trPr>
          <w:tblHeader w:val="false"/>
        </w:trPr>
        <w:tc>
          <w:tcPr>
            <w:tcW w:type="dxa" w:w="34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Real field photographs</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never measured</w:t>
            </w:r>
          </w:p>
        </w:tc>
        <w:tc>
          <w:tcPr>
            <w:tcW w:type="dxa" w:w="29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81.67%</w:t>
            </w:r>
          </w:p>
        </w:tc>
      </w:tr>
      <w:tr>
        <w:trPr>
          <w:tblHeader w:val="false"/>
        </w:trPr>
        <w:tc>
          <w:tcPr>
            <w:tcW w:type="dxa" w:w="3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False rejections on test set</w:t>
            </w:r>
          </w:p>
        </w:tc>
        <w:tc>
          <w:tcPr>
            <w:tcW w:type="dxa" w:w="3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0 of 656</w:t>
            </w:r>
          </w:p>
        </w:tc>
      </w:tr>
      <w:tr>
        <w:trPr>
          <w:tblHeader w:val="false"/>
        </w:trPr>
        <w:tc>
          <w:tcPr>
            <w:tcW w:type="dxa" w:w="3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Real field photos t1–t3</w:t>
            </w:r>
          </w:p>
        </w:tc>
        <w:tc>
          <w:tcPr>
            <w:tcW w:type="dxa" w:w="3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rejected at 88–99%</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correctly classified, 3/3</w:t>
            </w:r>
          </w:p>
        </w:tc>
      </w:tr>
    </w:tbl>
    <w:p>
      <w:pPr>
        <w:spacing w:after="120"/>
      </w:pPr>
      <w:r>
        <w:t xml:space="default"/>
      </w:r>
    </w:p>
    <w:p>
      <w:pPr>
        <w:spacing w:after="120"/>
      </w:pPr>
      <w:r>
        <w:t xml:space="preserve">The headline number went down by 2.17 points. That is the result, not a regression: the old figure was inflated by a shortcut and the new one describes something real.</w:t>
      </w:r>
    </w:p>
    <w:p>
      <w:pPr>
        <w:pStyle w:val="Heading2"/>
        <w:spacing w:after="110" w:before="220"/>
      </w:pPr>
      <w:r>
        <w:t xml:space="preserve">Stage 2</w:t>
      </w:r>
    </w:p>
    <w:p>
      <w:pPr>
        <w:spacing w:after="120"/>
      </w:pPr>
      <w:r>
        <w:t xml:space="preserve">Rebuilt the following day and measured once on 425 held-out disease images, 90 of them field photographs.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Metric</w:t>
            </w:r>
          </w:p>
        </w:tc>
        <w:tc>
          <w:tcPr>
            <w:tcW w:type="dxa" w:w="30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Original (Nov 2025)</w:t>
            </w:r>
          </w:p>
        </w:tc>
        <w:tc>
          <w:tcPr>
            <w:tcW w:type="dxa" w:w="29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Rebuilt (Aug 2026)</w:t>
            </w:r>
          </w:p>
        </w:tc>
      </w:tr>
      <w:tr>
        <w:trPr>
          <w:tblHeader w:val="false"/>
        </w:trPr>
        <w:tc>
          <w:tcPr>
            <w:tcW w:type="dxa" w:w="3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Headline accuracy</w:t>
            </w:r>
          </w:p>
        </w:tc>
        <w:tc>
          <w:tcPr>
            <w:tcW w:type="dxa" w:w="3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98.18% validation</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95.29% held-out test</w:t>
            </w:r>
          </w:p>
        </w:tc>
      </w:tr>
      <w:tr>
        <w:trPr>
          <w:tblHeader w:val="false"/>
        </w:trPr>
        <w:tc>
          <w:tcPr>
            <w:tcW w:type="dxa" w:w="34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Held-out test set</w:t>
            </w:r>
          </w:p>
        </w:tc>
        <w:tc>
          <w:tcPr>
            <w:tcW w:type="dxa" w:w="30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none</w:t>
            </w:r>
          </w:p>
        </w:tc>
        <w:tc>
          <w:tcPr>
            <w:tcW w:type="dxa" w:w="29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yes, evaluated once</w:t>
            </w:r>
          </w:p>
        </w:tc>
      </w:tr>
      <w:tr>
        <w:trPr>
          <w:tblHeader w:val="false"/>
        </w:trPr>
        <w:tc>
          <w:tcPr>
            <w:tcW w:type="dxa" w:w="34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Studio images</w:t>
            </w:r>
          </w:p>
        </w:tc>
        <w:tc>
          <w:tcPr>
            <w:tcW w:type="dxa" w:w="30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not separated</w:t>
            </w:r>
          </w:p>
        </w:tc>
        <w:tc>
          <w:tcPr>
            <w:tcW w:type="dxa" w:w="29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97.61%</w:t>
            </w:r>
          </w:p>
        </w:tc>
      </w:tr>
      <w:tr>
        <w:trPr>
          <w:tblHeader w:val="false"/>
        </w:trPr>
        <w:tc>
          <w:tcPr>
            <w:tcW w:type="dxa" w:w="3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Real field photographs</w:t>
            </w:r>
          </w:p>
        </w:tc>
        <w:tc>
          <w:tcPr>
            <w:tcW w:type="dxa" w:w="3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never seen in training</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86.67%</w:t>
            </w:r>
          </w:p>
        </w:tc>
      </w:tr>
      <w:tr>
        <w:trPr>
          <w:tblHeader w:val="false"/>
        </w:trPr>
        <w:tc>
          <w:tcPr>
            <w:tcW w:type="dxa" w:w="34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Weakest class</w:t>
            </w:r>
          </w:p>
        </w:tc>
        <w:tc>
          <w:tcPr>
            <w:tcW w:type="dxa" w:w="30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not reported</w:t>
            </w:r>
          </w:p>
        </w:tc>
        <w:tc>
          <w:tcPr>
            <w:tcW w:type="dxa" w:w="29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leaf blast — 90.91% / 92.78%</w:t>
            </w:r>
          </w:p>
        </w:tc>
      </w:tr>
    </w:tbl>
    <w:p>
      <w:pPr>
        <w:spacing w:after="120"/>
      </w:pPr>
      <w:r>
        <w:t xml:space="default"/>
      </w:r>
    </w:p>
    <w:p>
      <w:pPr>
        <w:spacing w:after="120"/>
      </w:pPr>
      <w:r>
        <w:t xml:space="preserve">The same correction as Stage 1, for the same reason. 98.18% was validation accuracy on the data used to choose the models — it is the number that justified dropping EfficientNetV2-S from the ensemble — so it measured fit, not generalisation. 95.29% is what the model does on images it has never been scored against.</w:t>
      </w:r>
    </w:p>
    <w:p>
      <w:pPr>
        <w:spacing w:after="120"/>
      </w:pPr>
      <w:r>
        <w:t xml:space="preserve">One result was not expected. Stage 2 handles field photographs better than Stage 1 does — 86.67% against 81.67% — which relocates the remaining weakness. The bottleneck is Stage 1’s seven-way decision, not the disease refinement downstream of it. That redirected the next block of work away from Stage 2 and back into Stage 1 training data.</w:t>
      </w:r>
    </w:p>
    <w:p>
      <w:pPr>
        <w:pStyle w:val="Heading2"/>
        <w:spacing w:after="110" w:before="220"/>
      </w:pPr>
      <w:r>
        <w:t xml:space="preserve">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600"/>
        <w:gridCol w:w="1600"/>
        <w:gridCol w:w="1660"/>
      </w:tblGrid>
      <w:tr>
        <w:trPr>
          <w:tblHeader/>
        </w:trPr>
        <w:tc>
          <w:tcPr>
            <w:tcW w:type="dxa" w:w="27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Class</w:t>
            </w:r>
          </w:p>
        </w:tc>
        <w:tc>
          <w:tcPr>
            <w:tcW w:type="dxa" w:w="18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Precision</w:t>
            </w:r>
          </w:p>
        </w:tc>
        <w:tc>
          <w:tcPr>
            <w:tcW w:type="dxa" w:w="16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Recall</w:t>
            </w:r>
          </w:p>
        </w:tc>
        <w:tc>
          <w:tcPr>
            <w:tcW w:type="dxa" w:w="160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F1</w:t>
            </w:r>
          </w:p>
        </w:tc>
        <w:tc>
          <w:tcPr>
            <w:tcW w:type="dxa" w:w="1660"/>
            <w:tcBorders>
              <w:top w:val="single" w:color="B7B7B7" w:sz="4"/>
              <w:left w:val="single" w:color="B7B7B7" w:sz="4"/>
              <w:bottom w:val="single" w:color="B7B7B7" w:sz="4"/>
              <w:right w:val="single" w:color="B7B7B7" w:sz="4"/>
            </w:tcBorders>
            <w:shd w:fill="1F3A5F" w:val="clear"/>
            <w:tcMar>
              <w:top w:type="dxa" w:w="80"/>
              <w:left w:type="dxa" w:w="140"/>
              <w:bottom w:type="dxa" w:w="80"/>
              <w:right w:type="dxa" w:w="140"/>
            </w:tcMar>
          </w:tcPr>
          <w:p>
            <w:pPr>
              <w:spacing w:after="0"/>
            </w:pPr>
            <w:r>
              <w:rPr>
                <w:b/>
                <w:bCs/>
                <w:color w:val="FFFFFF"/>
                <w:sz w:val="20"/>
                <w:szCs w:val="20"/>
              </w:rPr>
              <w:t xml:space="preserve">Support</w:t>
            </w:r>
          </w:p>
        </w:tc>
      </w:tr>
      <w:tr>
        <w:trPr>
          <w:tblHeader w:val="false"/>
        </w:trPr>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Bacterial Leaf Blight</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96.70%</w:t>
            </w:r>
          </w:p>
        </w:tc>
        <w:tc>
          <w:tcPr>
            <w:tcW w:type="dxa" w:w="16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90.72%</w:t>
            </w:r>
          </w:p>
        </w:tc>
        <w:tc>
          <w:tcPr>
            <w:tcW w:type="dxa" w:w="16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93.62%</w:t>
            </w:r>
          </w:p>
        </w:tc>
        <w:tc>
          <w:tcPr>
            <w:tcW w:type="dxa" w:w="16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97</w:t>
            </w:r>
          </w:p>
        </w:tc>
      </w:tr>
      <w:tr>
        <w:trPr>
          <w:tblHeader w:val="false"/>
        </w:trPr>
        <w:tc>
          <w:tcPr>
            <w:tcW w:type="dxa" w:w="27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Brown Spot</w:t>
            </w:r>
          </w:p>
        </w:tc>
        <w:tc>
          <w:tcPr>
            <w:tcW w:type="dxa" w:w="18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85.44%</w:t>
            </w:r>
          </w:p>
        </w:tc>
        <w:tc>
          <w:tcPr>
            <w:tcW w:type="dxa" w:w="16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90.72%</w:t>
            </w:r>
          </w:p>
        </w:tc>
        <w:tc>
          <w:tcPr>
            <w:tcW w:type="dxa" w:w="16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88.00%</w:t>
            </w:r>
          </w:p>
        </w:tc>
        <w:tc>
          <w:tcPr>
            <w:tcW w:type="dxa" w:w="16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97</w:t>
            </w:r>
          </w:p>
        </w:tc>
      </w:tr>
      <w:tr>
        <w:trPr>
          <w:tblHeader w:val="false"/>
        </w:trPr>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Healthy</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92.16%</w:t>
            </w:r>
          </w:p>
        </w:tc>
        <w:tc>
          <w:tcPr>
            <w:tcW w:type="dxa" w:w="16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96.91%</w:t>
            </w:r>
          </w:p>
        </w:tc>
        <w:tc>
          <w:tcPr>
            <w:tcW w:type="dxa" w:w="16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94.47%</w:t>
            </w:r>
          </w:p>
        </w:tc>
        <w:tc>
          <w:tcPr>
            <w:tcW w:type="dxa" w:w="16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97</w:t>
            </w:r>
          </w:p>
        </w:tc>
      </w:tr>
      <w:tr>
        <w:trPr>
          <w:tblHeader w:val="false"/>
        </w:trPr>
        <w:tc>
          <w:tcPr>
            <w:tcW w:type="dxa" w:w="27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Leaf Blast</w:t>
            </w:r>
          </w:p>
        </w:tc>
        <w:tc>
          <w:tcPr>
            <w:tcW w:type="dxa" w:w="18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91.11%</w:t>
            </w:r>
          </w:p>
        </w:tc>
        <w:tc>
          <w:tcPr>
            <w:tcW w:type="dxa" w:w="16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84.54%</w:t>
            </w:r>
          </w:p>
        </w:tc>
        <w:tc>
          <w:tcPr>
            <w:tcW w:type="dxa" w:w="16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87.70%</w:t>
            </w:r>
          </w:p>
        </w:tc>
        <w:tc>
          <w:tcPr>
            <w:tcW w:type="dxa" w:w="16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97</w:t>
            </w:r>
          </w:p>
        </w:tc>
      </w:tr>
      <w:tr>
        <w:trPr>
          <w:tblHeader w:val="false"/>
        </w:trPr>
        <w:tc>
          <w:tcPr>
            <w:tcW w:type="dxa" w:w="27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Leaf Scald</w:t>
            </w:r>
          </w:p>
        </w:tc>
        <w:tc>
          <w:tcPr>
            <w:tcW w:type="dxa" w:w="18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97.10%</w:t>
            </w:r>
          </w:p>
        </w:tc>
        <w:tc>
          <w:tcPr>
            <w:tcW w:type="dxa" w:w="16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100.00%</w:t>
            </w:r>
          </w:p>
        </w:tc>
        <w:tc>
          <w:tcPr>
            <w:tcW w:type="dxa" w:w="160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98.53%</w:t>
            </w:r>
          </w:p>
        </w:tc>
        <w:tc>
          <w:tcPr>
            <w:tcW w:type="dxa" w:w="1660"/>
            <w:tcBorders>
              <w:top w:val="single" w:color="B7B7B7" w:sz="4"/>
              <w:left w:val="single" w:color="B7B7B7" w:sz="4"/>
              <w:bottom w:val="single" w:color="B7B7B7" w:sz="4"/>
              <w:right w:val="single" w:color="B7B7B7" w:sz="4"/>
            </w:tcBorders>
            <w:tcMar>
              <w:top w:type="dxa" w:w="80"/>
              <w:left w:type="dxa" w:w="140"/>
              <w:bottom w:type="dxa" w:w="80"/>
              <w:right w:type="dxa" w:w="140"/>
            </w:tcMar>
          </w:tcPr>
          <w:p>
            <w:pPr>
              <w:spacing w:after="0"/>
            </w:pPr>
            <w:r>
              <w:rPr>
                <w:b w:val="false"/>
                <w:bCs w:val="false"/>
                <w:color w:val="111111"/>
                <w:sz w:val="20"/>
                <w:szCs w:val="20"/>
              </w:rPr>
              <w:t xml:space="preserve">67</w:t>
            </w:r>
          </w:p>
        </w:tc>
      </w:tr>
      <w:tr>
        <w:trPr>
          <w:tblHeader w:val="false"/>
        </w:trPr>
        <w:tc>
          <w:tcPr>
            <w:tcW w:type="dxa" w:w="27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Narrow Brown Spot</w:t>
            </w:r>
          </w:p>
        </w:tc>
        <w:tc>
          <w:tcPr>
            <w:tcW w:type="dxa" w:w="18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100.00%</w:t>
            </w:r>
          </w:p>
        </w:tc>
        <w:tc>
          <w:tcPr>
            <w:tcW w:type="dxa" w:w="16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100.00%</w:t>
            </w:r>
          </w:p>
        </w:tc>
        <w:tc>
          <w:tcPr>
            <w:tcW w:type="dxa" w:w="160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100.00%</w:t>
            </w:r>
          </w:p>
        </w:tc>
        <w:tc>
          <w:tcPr>
            <w:tcW w:type="dxa" w:w="1660"/>
            <w:tcBorders>
              <w:top w:val="single" w:color="B7B7B7" w:sz="4"/>
              <w:left w:val="single" w:color="B7B7B7" w:sz="4"/>
              <w:bottom w:val="single" w:color="B7B7B7" w:sz="4"/>
              <w:right w:val="single" w:color="B7B7B7" w:sz="4"/>
            </w:tcBorders>
            <w:shd w:fill="F2F5F9" w:val="clear"/>
            <w:tcMar>
              <w:top w:type="dxa" w:w="80"/>
              <w:left w:type="dxa" w:w="140"/>
              <w:bottom w:type="dxa" w:w="80"/>
              <w:right w:type="dxa" w:w="140"/>
            </w:tcMar>
          </w:tcPr>
          <w:p>
            <w:pPr>
              <w:spacing w:after="0"/>
            </w:pPr>
            <w:r>
              <w:rPr>
                <w:b w:val="false"/>
                <w:bCs w:val="false"/>
                <w:color w:val="111111"/>
                <w:sz w:val="20"/>
                <w:szCs w:val="20"/>
              </w:rPr>
              <w:t xml:space="preserve">67</w:t>
            </w:r>
          </w:p>
        </w:tc>
      </w:tr>
      <w:tr>
        <w:trPr>
          <w:tblHeader w:val="false"/>
        </w:trPr>
        <w:tc>
          <w:tcPr>
            <w:tcW w:type="dxa" w:w="27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Not a Rice Leaf</w:t>
            </w:r>
          </w:p>
        </w:tc>
        <w:tc>
          <w:tcPr>
            <w:tcW w:type="dxa" w:w="18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100.00%</w:t>
            </w:r>
          </w:p>
        </w:tc>
        <w:tc>
          <w:tcPr>
            <w:tcW w:type="dxa" w:w="16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100.00%</w:t>
            </w:r>
          </w:p>
        </w:tc>
        <w:tc>
          <w:tcPr>
            <w:tcW w:type="dxa" w:w="160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100.00%</w:t>
            </w:r>
          </w:p>
        </w:tc>
        <w:tc>
          <w:tcPr>
            <w:tcW w:type="dxa" w:w="1660"/>
            <w:tcBorders>
              <w:top w:val="single" w:color="B7B7B7" w:sz="4"/>
              <w:left w:val="single" w:color="B7B7B7" w:sz="4"/>
              <w:bottom w:val="single" w:color="B7B7B7" w:sz="4"/>
              <w:right w:val="single" w:color="B7B7B7" w:sz="4"/>
            </w:tcBorders>
            <w:shd w:fill="FFF4E5" w:val="clear"/>
            <w:tcMar>
              <w:top w:type="dxa" w:w="80"/>
              <w:left w:type="dxa" w:w="140"/>
              <w:bottom w:type="dxa" w:w="80"/>
              <w:right w:type="dxa" w:w="140"/>
            </w:tcMar>
          </w:tcPr>
          <w:p>
            <w:pPr>
              <w:spacing w:after="0"/>
            </w:pPr>
            <w:r>
              <w:rPr>
                <w:b/>
                <w:bCs/>
                <w:color w:val="111111"/>
                <w:sz w:val="20"/>
                <w:szCs w:val="20"/>
              </w:rPr>
              <w:t xml:space="preserve">134</w:t>
            </w:r>
          </w:p>
        </w:tc>
      </w:tr>
    </w:tbl>
    <w:p>
      <w:pPr>
        <w:spacing w:after="120"/>
      </w:pPr>
      <w:r>
        <w:t xml:space="default"/>
      </w:r>
    </w:p>
    <w:p>
      <w:pPr>
        <w:spacing w:after="120"/>
      </w:pPr>
      <w:r>
        <w:t xml:space="preserve">The last row is the one that matters. Not one rice image was misclassified as "not a rice leaf", and nothing else was misclassified into it. That was the defining failure of the original model, and it is gone.</w:t>
      </w:r>
    </w:p>
    <w:p>
      <w:pPr>
        <w:spacing w:after="120"/>
      </w:pPr>
      <w:r>
        <w:t xml:space="preserve">Every remaining error is disease-versus-disease. Confusing brown spot with leaf blast is a genuinely hard agronomic distinction; rejecting a rice leaf as not-a-leaf was not.</w:t>
      </w:r>
    </w:p>
    <w:p>
      <w:pPr>
        <w:pStyle w:val="Heading2"/>
        <w:spacing w:after="110" w:before="220"/>
      </w:pPr>
      <w:r>
        <w:t xml:space="preserve">Honest reading of the two perfect scores</w:t>
      </w:r>
    </w:p>
    <w:p>
      <w:pPr>
        <w:spacing w:after="120"/>
      </w:pPr>
      <w:r>
        <w:t xml:space="preserve">Leaf scald and narrow brown spot score 100%. That is not a good result — it is a symptom. Neither has any field photographs in public datasets, so both exist only in studio form and can be identified from photographic style rather than leaf morphology. The original shortcut, surviving in miniature. It is recorded as an open finding rather than presented as a strength.</w:t>
      </w:r>
    </w:p>
    <w:p>
      <w:pPr>
        <w:spacing w:after="120"/>
      </w:pPr>
      <w:r>
        <w:t xml:space="preserve">The Stage 2 rebuild confirmed this independently. Trained from scratch on the same splits, with different architectures, it produced the same pattern: narrow brown spot 100.00% / 100.00% and leaf scald 97.10% / 100.00%, against leaf blast at 90.91% / 92.78%. The support column shows the mechanism — those two classes have 67 test images each while the four with field data have 97, and the 30-image difference is exactly the field photographs. Two independent models scoring near-perfectly on precisely the two classes never photographed in a field is no longer an inference from one result. It is a reproduced one.</w:t>
      </w:r>
    </w:p>
    <w:p>
      <w:r>
        <w:br w:type="page"/>
      </w:r>
    </w:p>
    <w:p>
      <w:pPr>
        <w:pStyle w:val="Heading1"/>
        <w:spacing w:after="150" w:before="300"/>
      </w:pPr>
      <w:r>
        <w:t xml:space="preserve">6. What Is Still Wrong</w:t>
      </w:r>
    </w:p>
    <w:p>
      <w:pPr>
        <w:spacing w:after="120"/>
      </w:pPr>
      <w:r>
        <w:t xml:space="preserve">From the project audit, dated the same day as this report.</w:t>
      </w:r>
    </w:p>
    <w:p>
      <w:pPr>
        <w:pStyle w:val="ListParagraph"/>
        <w:numPr>
          <w:ilvl w:val="0"/>
          <w:numId w:val="2"/>
        </w:numPr>
        <w:spacing w:after="80"/>
      </w:pPr>
      <w:r>
        <w:rPr>
          <w:b/>
          <w:bCs/>
        </w:rPr>
        <w:t xml:space="preserve">Field accuracy is 81.67%, not 94.51%. </w:t>
      </w:r>
      <w:r>
        <w:t xml:space="preserve">Roughly one field prediction in five is wrong. The headline averages over a test set that is 61% studio images.</w:t>
      </w:r>
    </w:p>
    <w:p>
      <w:pPr>
        <w:pStyle w:val="ListParagraph"/>
        <w:numPr>
          <w:ilvl w:val="0"/>
          <w:numId w:val="2"/>
        </w:numPr>
        <w:spacing w:after="80"/>
      </w:pPr>
      <w:r>
        <w:rPr>
          <w:b/>
          <w:bCs/>
        </w:rPr>
        <w:t xml:space="preserve">Missed disease is the worst error, and it happens. </w:t>
      </w:r>
      <w:r>
        <w:t xml:space="preserve">On field photographs, leaf blast was called healthy 5 times. A false negative costs a farmer more than a false alarm.</w:t>
      </w:r>
    </w:p>
    <w:p>
      <w:pPr>
        <w:pStyle w:val="ListParagraph"/>
        <w:numPr>
          <w:ilvl w:val="0"/>
          <w:numId w:val="2"/>
        </w:numPr>
        <w:spacing w:after="80"/>
      </w:pPr>
      <w:r>
        <w:rPr>
          <w:b/>
          <w:bCs/>
        </w:rPr>
        <w:t xml:space="preserve">Two classes have no field data. </w:t>
      </w:r>
      <w:r>
        <w:t xml:space="preserve">Leaf scald and narrow brown spot are studio-only; their perfect scores are inflated.</w:t>
      </w:r>
    </w:p>
    <w:p>
      <w:pPr>
        <w:pStyle w:val="ListParagraph"/>
        <w:numPr>
          <w:ilvl w:val="0"/>
          <w:numId w:val="2"/>
        </w:numPr>
        <w:spacing w:after="80"/>
      </w:pPr>
      <w:r>
        <w:rPr>
          <w:b/>
          <w:bCs/>
        </w:rPr>
        <w:t xml:space="preserve">The abstain threshold is still unmeasured. </w:t>
      </w:r>
      <w:r>
        <w:t xml:space="preserve">0.45 governs Stage 2 confidence, but the calibration study measured Stage 1 — a different distribution over a different label space. The Stage 2 rebuild finally makes the measurement possible; it has not been run, so 0.45 remains a judgement call.</w:t>
      </w:r>
    </w:p>
    <w:p>
      <w:pPr>
        <w:pStyle w:val="ListParagraph"/>
        <w:numPr>
          <w:ilvl w:val="0"/>
          <w:numId w:val="2"/>
        </w:numPr>
        <w:spacing w:after="80"/>
      </w:pPr>
      <w:r>
        <w:rPr>
          <w:b/>
          <w:bCs/>
        </w:rPr>
        <w:t xml:space="preserve">The two stages can disagree, and the response does not say so. </w:t>
      </w:r>
      <w:r>
        <w:t xml:space="preserve">On one test photograph Stage 1 returns leaf blast while Stage 2 returns leaf scald at 49.16% — four points above the abstain line, with the runner-up 11.7 points behind. The API presents that as a plain label with a treatment attached. Abstention fires on low absolute confidence only; it cannot express "confident but contradicted".</w:t>
      </w:r>
    </w:p>
    <w:p>
      <w:pPr>
        <w:pStyle w:val="ListParagraph"/>
        <w:numPr>
          <w:ilvl w:val="0"/>
          <w:numId w:val="2"/>
        </w:numPr>
        <w:spacing w:after="80"/>
      </w:pPr>
      <w:r>
        <w:rPr>
          <w:b/>
          <w:bCs/>
        </w:rPr>
        <w:t xml:space="preserve">The confidence figure is not a probability. </w:t>
      </w:r>
      <w:r>
        <w:t xml:space="preserve">Expected Calibration Error is 11.98% and the model is under-confident in every reliability bin, by as much as 30 points. The number shown understates the model. Temperature scaling would fix it and has not been applied.</w:t>
      </w:r>
    </w:p>
    <w:p>
      <w:pPr>
        <w:pStyle w:val="ListParagraph"/>
        <w:numPr>
          <w:ilvl w:val="0"/>
          <w:numId w:val="2"/>
        </w:numPr>
        <w:spacing w:after="80"/>
      </w:pPr>
      <w:r>
        <w:rPr>
          <w:b/>
          <w:bCs/>
        </w:rPr>
        <w:t xml:space="preserve">A hostile probe still flips. </w:t>
      </w:r>
      <w:r>
        <w:t xml:space="preserve">Compositing a leaf onto an unrelated stock photo returns not_rice_leaf in 7 of 8 trials. Paddy-field backgrounds are handled; arbitrary scenes are not.</w:t>
      </w:r>
    </w:p>
    <w:p>
      <w:pPr>
        <w:pStyle w:val="ListParagraph"/>
        <w:numPr>
          <w:ilvl w:val="0"/>
          <w:numId w:val="2"/>
        </w:numPr>
        <w:spacing w:after="80"/>
      </w:pPr>
      <w:r>
        <w:rPr>
          <w:b/>
          <w:bCs/>
        </w:rPr>
        <w:t xml:space="preserve">Not a substitute for an agronomist. </w:t>
      </w:r>
      <w:r>
        <w:t xml:space="preserve">Five diseases out of 20+, no nutrient deficiency or pest damage, no regional or varietal awareness.</w:t>
      </w:r>
    </w:p>
    <w:p>
      <w:pPr>
        <w:pStyle w:val="Heading1"/>
        <w:spacing w:after="150" w:before="300"/>
      </w:pPr>
      <w:r>
        <w:t xml:space="preserve">7. Engineering Practice</w:t>
      </w:r>
    </w:p>
    <w:p>
      <w:pPr>
        <w:spacing w:after="120"/>
      </w:pPr>
      <w:r>
        <w:t xml:space="preserve">Alongside the model rebuild, a self-audit of the codebase found 37 issues, all since fixed. A representative sample:</w:t>
      </w:r>
    </w:p>
    <w:p>
      <w:pPr>
        <w:pStyle w:val="ListParagraph"/>
        <w:numPr>
          <w:ilvl w:val="0"/>
          <w:numId w:val="2"/>
        </w:numPr>
        <w:spacing w:after="80"/>
      </w:pPr>
      <w:r>
        <w:t xml:space="preserve">Model loading used os.listdir(...)[0] on a directory holding two training runs per model — an arbitrary, machine-dependent choice, with a silent path that left a model at random initialisation while it kept voting in the ensemble.</w:t>
      </w:r>
    </w:p>
    <w:p>
      <w:pPr>
        <w:pStyle w:val="ListParagraph"/>
        <w:numPr>
          <w:ilvl w:val="0"/>
          <w:numId w:val="2"/>
        </w:numPr>
        <w:spacing w:after="80"/>
      </w:pPr>
      <w:r>
        <w:t xml:space="preserve">The API returned raw exception text to clients, leaking filesystem paths. There was no upload size limit, no rate limiting, and CORS was open to every origin.</w:t>
      </w:r>
    </w:p>
    <w:p>
      <w:pPr>
        <w:pStyle w:val="ListParagraph"/>
        <w:numPr>
          <w:ilvl w:val="0"/>
          <w:numId w:val="2"/>
        </w:numPr>
        <w:spacing w:after="80"/>
      </w:pPr>
      <w:r>
        <w:t xml:space="preserve">/health returned 200 even when no model was loaded, so uptime monitoring reported a healthy service through a total failure.</w:t>
      </w:r>
    </w:p>
    <w:p>
      <w:pPr>
        <w:pStyle w:val="ListParagraph"/>
        <w:numPr>
          <w:ilvl w:val="0"/>
          <w:numId w:val="2"/>
        </w:numPr>
        <w:spacing w:after="80"/>
      </w:pPr>
      <w:r>
        <w:t xml:space="preserve">The Docker HEALTHCHECK imported a package that was not in requirements.txt, so it could never pass; the build context was 3.8GB with no .dockerignore; the container ran as root.</w:t>
      </w:r>
    </w:p>
    <w:p>
      <w:pPr>
        <w:pStyle w:val="ListParagraph"/>
        <w:numPr>
          <w:ilvl w:val="0"/>
          <w:numId w:val="2"/>
        </w:numPr>
        <w:spacing w:after="80"/>
      </w:pPr>
      <w:r>
        <w:t xml:space="preserve">The UI advertised "98.2% accuracy" — a figure matching no measurement — and described four fungal diseases as bacterial. 273 lines of HTML contained zero accessibility attributes.</w:t>
      </w:r>
    </w:p>
    <w:p>
      <w:pPr>
        <w:spacing w:after="120"/>
      </w:pPr>
      <w:r>
        <w:t xml:space="default"/>
      </w:r>
    </w:p>
    <w:p>
      <w:pPr>
        <w:spacing w:after="120"/>
      </w:pPr>
      <w:r>
        <w:t xml:space="preserve">A pattern worth naming: most of these were silent-failure paths. Arbitrary checkpoint selection, a skipped model that still votes, a health endpoint that lies, a healthcheck that cannot run. None produced an error message. Each failed quietly in a way that looked like success.</w:t>
      </w:r>
    </w:p>
    <w:p>
      <w:pPr>
        <w:pStyle w:val="Heading1"/>
        <w:spacing w:after="150" w:before="300"/>
      </w:pPr>
      <w:r>
        <w:t xml:space="preserve">8. What This Demonstrates</w:t>
      </w:r>
    </w:p>
    <w:p>
      <w:pPr>
        <w:pStyle w:val="ListParagraph"/>
        <w:numPr>
          <w:ilvl w:val="0"/>
          <w:numId w:val="2"/>
        </w:numPr>
        <w:spacing w:after="80"/>
      </w:pPr>
      <w:r>
        <w:rPr>
          <w:b/>
          <w:bCs/>
        </w:rPr>
        <w:t xml:space="preserve">Refusing to accept a passing metric. </w:t>
      </w:r>
      <w:r>
        <w:t xml:space="preserve">96.68% invites you to stop looking. The flaw appeared in no confusion matrix, loss curve or per-class score — every artefact looked healthy. It only surfaced by asking why one specific input failed.</w:t>
      </w:r>
    </w:p>
    <w:p>
      <w:pPr>
        <w:pStyle w:val="ListParagraph"/>
        <w:numPr>
          <w:ilvl w:val="0"/>
          <w:numId w:val="2"/>
        </w:numPr>
        <w:spacing w:after="80"/>
      </w:pPr>
      <w:r>
        <w:rPr>
          <w:b/>
          <w:bCs/>
        </w:rPr>
        <w:t xml:space="preserve">Hypothesis discipline. </w:t>
      </w:r>
      <w:r>
        <w:t xml:space="preserve">The first explanation (aspect ratio) was plausible, testable, and wrong. Discarding it on the evidence rather than defending it is the part that made the second hypothesis trustworthy.</w:t>
      </w:r>
    </w:p>
    <w:p>
      <w:pPr>
        <w:pStyle w:val="ListParagraph"/>
        <w:numPr>
          <w:ilvl w:val="0"/>
          <w:numId w:val="2"/>
        </w:numPr>
        <w:spacing w:after="80"/>
      </w:pPr>
      <w:r>
        <w:rPr>
          <w:b/>
          <w:bCs/>
        </w:rPr>
        <w:t xml:space="preserve">Experimental design. </w:t>
      </w:r>
      <w:r>
        <w:t xml:space="preserve">The reverse test — identical leaf pixels, background swapped — isolates one variable. Diagnosing the problem is what made the fix obvious.</w:t>
      </w:r>
    </w:p>
    <w:p>
      <w:pPr>
        <w:pStyle w:val="ListParagraph"/>
        <w:numPr>
          <w:ilvl w:val="0"/>
          <w:numId w:val="2"/>
        </w:numPr>
        <w:spacing w:after="80"/>
      </w:pPr>
      <w:r>
        <w:rPr>
          <w:b/>
          <w:bCs/>
        </w:rPr>
        <w:t xml:space="preserve">Reporting a worse number. </w:t>
      </w:r>
      <w:r>
        <w:t xml:space="preserve">94.51% is lower than 96.68% and is the better result. So is publishing 81.67% field accuracy next to it rather than averaging it away.</w:t>
      </w:r>
    </w:p>
    <w:p>
      <w:pPr>
        <w:pStyle w:val="ListParagraph"/>
        <w:numPr>
          <w:ilvl w:val="0"/>
          <w:numId w:val="2"/>
        </w:numPr>
        <w:spacing w:after="80"/>
      </w:pPr>
      <w:r>
        <w:rPr>
          <w:b/>
          <w:bCs/>
        </w:rPr>
        <w:t xml:space="preserve">Changing one thing at a time. </w:t>
      </w:r>
      <w:r>
        <w:t xml:space="preserve">Stage 1 was retrained alone, because only Stage 1 owned the broken class. Stage 2 followed a day later for a different, separately argued reason — and was A/B-tested against the shipping weights through the real application before being promoted, with Stage 1 held constant so any difference was attributable.</w:t>
      </w:r>
    </w:p>
    <w:p>
      <w:pPr>
        <w:pStyle w:val="ListParagraph"/>
        <w:numPr>
          <w:ilvl w:val="0"/>
          <w:numId w:val="2"/>
        </w:numPr>
        <w:spacing w:after="80"/>
      </w:pPr>
      <w:r>
        <w:rPr>
          <w:b/>
          <w:bCs/>
        </w:rPr>
        <w:t xml:space="preserve">Letting a result redirect the plan. </w:t>
      </w:r>
      <w:r>
        <w:t xml:space="preserve">Stage 2 was expected to be the weak link on field photographs. It measured better than Stage 1. The roadmap was reordered to match the evidence rather than the assumption.</w:t>
      </w:r>
    </w:p>
    <w:p>
      <w:pPr>
        <w:pStyle w:val="ListParagraph"/>
        <w:numPr>
          <w:ilvl w:val="0"/>
          <w:numId w:val="2"/>
        </w:numPr>
        <w:spacing w:after="80"/>
      </w:pPr>
      <w:r>
        <w:rPr>
          <w:b/>
          <w:bCs/>
        </w:rPr>
        <w:t xml:space="preserve">Documenting what is still broken. </w:t>
      </w:r>
      <w:r>
        <w:t xml:space="preserve">The remaining defects are recorded with severity and effort rather than quietly left out — including one found while verifying the fix, and scoped down to what a single photograph can actually support.</w:t>
      </w:r>
    </w:p>
    <w:p>
      <w:pPr>
        <w:pStyle w:val="Heading1"/>
        <w:spacing w:after="150" w:before="300"/>
      </w:pPr>
      <w:r>
        <w:t xml:space="preserve">9. Reproducing This</w:t>
      </w:r>
    </w:p>
    <w:p>
      <w:pPr>
        <w:spacing w:after="120"/>
      </w:pPr>
      <w:r>
        <w:t xml:space="preserve">The full rebuild pipeline is in the repository. Both source datasets are public.</w:t>
      </w:r>
    </w:p>
    <w:p>
      <w:pPr>
        <w:pStyle w:val="ListParagraph"/>
        <w:numPr>
          <w:ilvl w:val="0"/>
          <w:numId w:val="2"/>
        </w:numPr>
        <w:spacing w:after="80"/>
      </w:pPr>
      <w:r>
        <w:t xml:space="preserve">PlantVillage — github.com/spMohanty/PlantVillage-Dataset (hard negatives)</w:t>
      </w:r>
    </w:p>
    <w:p>
      <w:pPr>
        <w:pStyle w:val="ListParagraph"/>
        <w:numPr>
          <w:ilvl w:val="0"/>
          <w:numId w:val="2"/>
        </w:numPr>
        <w:spacing w:after="80"/>
      </w:pPr>
      <w:r>
        <w:t xml:space="preserve">Paddy Doctor — paddydoc.github.io/dataset (field photographs)</w:t>
      </w:r>
    </w:p>
    <w:p>
      <w:pPr>
        <w:pStyle w:val="ListParagraph"/>
        <w:numPr>
          <w:ilvl w:val="0"/>
          <w:numId w:val="2"/>
        </w:numPr>
        <w:spacing w:after="80"/>
      </w:pPr>
      <w:r>
        <w:t xml:space="preserve">v2/scripts/00–07 — hard negatives, field photos, splits, training, shortcut probe, real-photo comparison, confusion matrix</w:t>
      </w:r>
    </w:p>
    <w:p>
      <w:pPr>
        <w:pStyle w:val="ListParagraph"/>
        <w:numPr>
          <w:ilvl w:val="0"/>
          <w:numId w:val="2"/>
        </w:numPr>
        <w:spacing w:after="80"/>
      </w:pPr>
      <w:r>
        <w:t xml:space="preserve">diagnostics/ — the scripts that found the bug, including the reverse-background experiment</w:t>
      </w:r>
    </w:p>
    <w:p>
      <w:pPr>
        <w:spacing w:after="120"/>
      </w:pPr>
      <w:r>
        <w:t xml:space="default"/>
      </w:r>
    </w:p>
    <w:p>
      <w:pPr>
        <w:spacing w:after="120"/>
      </w:pPr>
      <w:r>
        <w:rPr>
          <w:b/>
          <w:bCs/>
        </w:rPr>
        <w:t xml:space="preserve">Source: </w:t>
      </w:r>
      <w:hyperlink w:history="1" r:id="rIdabqvyhmfywnvtnezi8gnu">
        <w:r>
          <w:rPr>
            <w:rStyle w:val="Hyperlink"/>
          </w:rPr>
          <w:t xml:space="preserve">github.com/AnuragPandey19/Rice-Disease-Detector</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August 2026</w:t>
    </w:r>
    <w:r>
      <w:rPr>
        <w:sz w:val="18"/>
        <w:szCs w:val="18"/>
      </w:rP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Rice Leaf Disease Detection — Anurag Pandey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1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aqviwzo46gjl3vooainj" Type="http://schemas.openxmlformats.org/officeDocument/2006/relationships/hyperlink" Target="https://undebuggedbit-rice-leaf-disease-detector.hf.space/" TargetMode="External"/><Relationship Id="rIdtcaqdqz17o2q6tt2pxhyt" Type="http://schemas.openxmlformats.org/officeDocument/2006/relationships/hyperlink" Target="https://github.com/AnuragPandey19" TargetMode="External"/><Relationship Id="rId6y8uxgywypp6btyj95xfr" Type="http://schemas.openxmlformats.org/officeDocument/2006/relationships/hyperlink" Target="https://www.linkedin.com/in/anurag-pandey-154259280/" TargetMode="External"/><Relationship Id="rIdabqvyhmfywnvtnezi8gnu" Type="http://schemas.openxmlformats.org/officeDocument/2006/relationships/hyperlink" Target="https://github.com/AnuragPandey19/Rice-Disease-Detecto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Rice Leaf Disease Detection — Project Report</dc:title>
  <dc:creator>Anurag Pandey</dc:creator>
  <cp:lastModifiedBy>Un-named</cp:lastModifiedBy>
  <cp:revision>1</cp:revision>
  <dcterms:created xsi:type="dcterms:W3CDTF">2026-08-10T00:59:55.417Z</dcterms:created>
  <dcterms:modified xsi:type="dcterms:W3CDTF">2026-08-10T00:59:55.425Z</dcterms:modified>
</cp:coreProperties>
</file>

<file path=docProps/custom.xml><?xml version="1.0" encoding="utf-8"?>
<Properties xmlns="http://schemas.openxmlformats.org/officeDocument/2006/custom-properties" xmlns:vt="http://schemas.openxmlformats.org/officeDocument/2006/docPropsVTypes"/>
</file>