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9F86A" w14:textId="77777777" w:rsidR="00A87E89" w:rsidRPr="00A87E89" w:rsidRDefault="00A87E89" w:rsidP="00A87E89"/>
    <w:p w14:paraId="2026D1C0" w14:textId="4438B53C" w:rsidR="00A87E89" w:rsidRDefault="00A87E89" w:rsidP="00A87E89">
      <w:pPr>
        <w:jc w:val="center"/>
        <w:rPr>
          <w:b/>
          <w:bCs/>
        </w:rPr>
      </w:pPr>
      <w:r w:rsidRPr="00A87E89">
        <w:rPr>
          <w:b/>
          <w:bCs/>
        </w:rPr>
        <w:t>Large Language Models (LLMs) Framework for Healthcare Systems</w:t>
      </w:r>
    </w:p>
    <w:p w14:paraId="0461527D" w14:textId="77777777" w:rsidR="00A87E89" w:rsidRPr="00A87E89" w:rsidRDefault="00A87E89" w:rsidP="00A87E89">
      <w:pPr>
        <w:rPr>
          <w:b/>
          <w:bCs/>
        </w:rPr>
      </w:pPr>
    </w:p>
    <w:p w14:paraId="24A63FEE" w14:textId="090C586D" w:rsidR="00A87E89" w:rsidRPr="00A87E89" w:rsidRDefault="00A87E89" w:rsidP="00A87E89">
      <w:pPr>
        <w:jc w:val="both"/>
        <w:rPr>
          <w:b/>
          <w:bCs/>
        </w:rPr>
      </w:pPr>
      <w:r w:rsidRPr="00A87E89">
        <w:rPr>
          <w:b/>
          <w:bCs/>
        </w:rPr>
        <w:t xml:space="preserve"> </w:t>
      </w:r>
      <w:r>
        <w:rPr>
          <w:b/>
          <w:bCs/>
        </w:rPr>
        <w:t xml:space="preserve">Abstract: </w:t>
      </w:r>
      <w:r w:rsidRPr="00A87E89">
        <w:t xml:space="preserve">Large Language Models (LLMs) are reshaping healthcare by moving beyond traditional data analysis into more adaptive roles that include reasoning in clinical contexts, engaging in natural language exchanges, and applying knowledge across domains. This chapter proposes two complementary approaches for integrating LLMs into healthcare: the </w:t>
      </w:r>
      <w:r w:rsidRPr="00A87E89">
        <w:rPr>
          <w:i/>
          <w:iCs/>
        </w:rPr>
        <w:t>Disease Lifecycle Model</w:t>
      </w:r>
      <w:r w:rsidRPr="00A87E89">
        <w:t xml:space="preserve">, which links LLM applications to the stages of prevention, diagnosis, treatment, and long-term management; and the </w:t>
      </w:r>
      <w:r w:rsidRPr="00A87E89">
        <w:rPr>
          <w:i/>
          <w:iCs/>
        </w:rPr>
        <w:t>LLM Multiplex Paradigm</w:t>
      </w:r>
      <w:r w:rsidRPr="00A87E89">
        <w:t>, which focuses on handling diverse data types, ensuring collaboration between AI systems, adapting to cultural contexts, and establishing shared governance. Alongside these frameworks, the chapter discusses evaluation criteria, practical risk controls, and case studies that illustrate real-world application. It closes by identifying future directions such as the development of proactive AI assistants, extending capabilities across sectors, and aligning global policy, with the aim of making LLMs trusted partners in advancing healthcare worldwide.</w:t>
      </w:r>
    </w:p>
    <w:p w14:paraId="198D6F64" w14:textId="0C4296BA" w:rsidR="00A87E89" w:rsidRDefault="00A87E89" w:rsidP="00A87E89">
      <w:pPr>
        <w:jc w:val="both"/>
      </w:pPr>
      <w:r w:rsidRPr="00A87E89">
        <w:rPr>
          <w:b/>
          <w:bCs/>
        </w:rPr>
        <w:t xml:space="preserve">Keywords: </w:t>
      </w:r>
      <w:r w:rsidRPr="00A87E89">
        <w:t>LLMs</w:t>
      </w:r>
      <w:r w:rsidRPr="00A87E89">
        <w:t>,</w:t>
      </w:r>
      <w:r w:rsidRPr="00A87E89">
        <w:t xml:space="preserve"> Healthcare AI</w:t>
      </w:r>
      <w:r w:rsidRPr="00A87E89">
        <w:t>,</w:t>
      </w:r>
      <w:r w:rsidRPr="00A87E89">
        <w:t xml:space="preserve"> Disease Lifecycle Model</w:t>
      </w:r>
      <w:r w:rsidRPr="00A87E89">
        <w:t>,</w:t>
      </w:r>
      <w:r w:rsidRPr="00A87E89">
        <w:t xml:space="preserve"> LLM Multiplex Paradigm</w:t>
      </w:r>
      <w:r w:rsidRPr="00A87E89">
        <w:t>,</w:t>
      </w:r>
      <w:r w:rsidRPr="00A87E89">
        <w:t xml:space="preserve"> Clinical Decision Support; Medical AI Evaluation; Ethical AI in Healthcare; Multimodal AI; Global Health Equity; AI Governance; Federated Learning; Medical Knowledge Graphs</w:t>
      </w:r>
    </w:p>
    <w:p w14:paraId="32E2DCAD" w14:textId="77777777" w:rsidR="00A87E89" w:rsidRDefault="00A87E89" w:rsidP="00A87E89">
      <w:pPr>
        <w:jc w:val="both"/>
      </w:pPr>
    </w:p>
    <w:p w14:paraId="28EED958" w14:textId="0A7B5897" w:rsidR="00A87E89" w:rsidRDefault="00A87E89" w:rsidP="00A87E89">
      <w:pPr>
        <w:pStyle w:val="ListParagraph"/>
        <w:numPr>
          <w:ilvl w:val="0"/>
          <w:numId w:val="1"/>
        </w:numPr>
        <w:jc w:val="both"/>
        <w:rPr>
          <w:b/>
          <w:bCs/>
        </w:rPr>
      </w:pPr>
      <w:r w:rsidRPr="00A87E89">
        <w:rPr>
          <w:b/>
          <w:bCs/>
        </w:rPr>
        <w:t>Introduction</w:t>
      </w:r>
    </w:p>
    <w:p w14:paraId="50998054" w14:textId="77777777" w:rsidR="00E569B7" w:rsidRDefault="00E569B7" w:rsidP="00E569B7">
      <w:pPr>
        <w:pStyle w:val="NormalWeb"/>
        <w:jc w:val="both"/>
      </w:pPr>
      <w:r>
        <w:t>Healthcare in the twenty-first century is undergoing a fundamental reconfiguration, driven by the convergence of computational intelligence, pervasive digital connectivity, and the growing societal demand for care that is not only efficient but also equitable, personalised, and sustainable (Topol, 2019; WHO, 2021). This shift is accelerated by several mutually reinforcing forces: the unprecedented growth in biomedical and health-related data, advances in artificial intelligence (AI) architectures—particularly in deep learning and natural language processing—and global policy frameworks such as the United Nations Sustainable Development Goals (United Nations, 2015), which prioritise universal access and reduced inequalities. Together, these developments are reshaping how medical knowledge is created, distributed, and applied in clinical and community health contexts.</w:t>
      </w:r>
    </w:p>
    <w:p w14:paraId="2BDD020A" w14:textId="37EB097C" w:rsidR="00E569B7" w:rsidRDefault="00E569B7" w:rsidP="00E569B7">
      <w:pPr>
        <w:pStyle w:val="NormalWeb"/>
        <w:jc w:val="both"/>
      </w:pPr>
      <w:r>
        <w:t xml:space="preserve">Among emerging technologies, </w:t>
      </w:r>
      <w:r w:rsidRPr="00E569B7">
        <w:rPr>
          <w:rStyle w:val="Strong"/>
          <w:rFonts w:eastAsiaTheme="majorEastAsia"/>
          <w:b w:val="0"/>
          <w:bCs w:val="0"/>
        </w:rPr>
        <w:t>LLMs</w:t>
      </w:r>
      <w:r>
        <w:t xml:space="preserve"> occupy a distinctive position. Unlike earlier computational tools designed for narrow, rule-based inference or domain-specific classification, LLMs are generative systems capable of interpreting, producing, and contextualising complex medical information with a fluency that approximates human reasoning (Jiang et al., 2023). These models, trained on vast and heterogeneous datasets, demonstrate capabilities that extend far beyond basic text manipulation. For example, LLMs can synthesise information from structured and unstructured data sources, summarise lengthy patient records, translate highly technical clinical terminology into patient-accessible language, and generate coherent narratives that support diagnostic and therapeutic decision-making </w:t>
      </w:r>
      <w:r>
        <w:lastRenderedPageBreak/>
        <w:t>(</w:t>
      </w:r>
      <w:r>
        <w:t>Thirunavukkarasu</w:t>
      </w:r>
      <w:r>
        <w:t xml:space="preserve"> et al., 2023). Their integration into healthcare workflows thus represents not just an automation of linguistic tasks, but the introduction of adaptive reasoning partners capable of interacting with both clinicians and patients in contextually appropriate ways.</w:t>
      </w:r>
    </w:p>
    <w:p w14:paraId="58A40635" w14:textId="77777777" w:rsidR="00E569B7" w:rsidRDefault="00E569B7" w:rsidP="00E569B7">
      <w:pPr>
        <w:pStyle w:val="NormalWeb"/>
        <w:jc w:val="both"/>
      </w:pPr>
      <w:r>
        <w:t>The urgency for such capabilities is underscored by persistent global healthcare challenges. Health systems are under mounting pressure from demographic trends such as population ageing, rising prevalence of chronic diseases, and epidemiological transitions in low- and middle-income countries (OECD, 2021). These pressures are compounded by shortages in healthcare professionals, uneven geographic distribution of expertise, and widening disparities in access to timely and high-quality care, particularly in rural and under-resourced settings (WHO, 2021). In these contexts, LLMs—when designed with cultural adaptability, fairness safeguards, and interoperability with existing infrastructure—offer the potential to function as scalable intermediaries between highly specialised medical knowledge and the diverse needs of patient populations. They could, for instance, assist primary care providers in remote regions by translating specialist-level guidance into actionable steps, or enable multilingual communication between international medical teams.</w:t>
      </w:r>
    </w:p>
    <w:p w14:paraId="278F1185" w14:textId="5B37CE74" w:rsidR="00E569B7" w:rsidRDefault="00E569B7" w:rsidP="00E569B7">
      <w:pPr>
        <w:pStyle w:val="NormalWeb"/>
        <w:jc w:val="both"/>
      </w:pPr>
      <w:r>
        <w:t xml:space="preserve">Despite these opportunities, the integration of LLMs into healthcare systems entails significant risks. Clinical environments are </w:t>
      </w:r>
      <w:r w:rsidRPr="00E569B7">
        <w:rPr>
          <w:rStyle w:val="Strong"/>
          <w:rFonts w:eastAsiaTheme="majorEastAsia"/>
          <w:b w:val="0"/>
          <w:bCs w:val="0"/>
        </w:rPr>
        <w:t>safety-critical domains</w:t>
      </w:r>
      <w:r>
        <w:t>, where inaccuracies—however small—can result in patient harm. The inherent opacity of large-scale neural architectures, the potential for biases embedded in training data, and the ability of LLMs to generate content that is linguistically plausible yet factually incorrect (“hallucinations”) raise concerns over reliability, accountability, and trustworthiness (</w:t>
      </w:r>
      <w:r>
        <w:t>Bom Masani</w:t>
      </w:r>
      <w:r>
        <w:t xml:space="preserve"> et al., 2022). These challenges are amplified by the sensitive nature of health data, which necessitates strict compliance with privacy regulations such as the Health Insurance Portability and Accountability Act (HIPAA) in the United States and the General Data Protection Regulation (GDPR) in the European Union. The introduction of LLMs into clinical workflows must therefore be accompanied by robust governance frameworks that integrate ethical oversight, transparency measures, and risk management protocols.</w:t>
      </w:r>
    </w:p>
    <w:p w14:paraId="369FF53B" w14:textId="77777777" w:rsidR="00E569B7" w:rsidRPr="00E569B7" w:rsidRDefault="00E569B7" w:rsidP="00E569B7">
      <w:pPr>
        <w:pStyle w:val="NormalWeb"/>
        <w:jc w:val="both"/>
      </w:pPr>
      <w:r>
        <w:t xml:space="preserve">Given this complex interplay of potential and risk, there is a compelling need for </w:t>
      </w:r>
      <w:r w:rsidRPr="00E569B7">
        <w:rPr>
          <w:rStyle w:val="Strong"/>
          <w:rFonts w:eastAsiaTheme="majorEastAsia"/>
        </w:rPr>
        <w:t>structured frameworks</w:t>
      </w:r>
      <w:r w:rsidRPr="00E569B7">
        <w:t xml:space="preserve"> that can guide the responsible adoption of LLMs in healthcare. This chapter advances such an approach through two complementary conceptual models. The first—the </w:t>
      </w:r>
      <w:r w:rsidRPr="00E569B7">
        <w:rPr>
          <w:rStyle w:val="Strong"/>
          <w:rFonts w:eastAsiaTheme="majorEastAsia"/>
        </w:rPr>
        <w:t>Disease Lifecycle Model</w:t>
      </w:r>
      <w:r w:rsidRPr="00E569B7">
        <w:t xml:space="preserve">—maps healthcare delivery into four interconnected stages: prevention, diagnosis, treatment, and management. By aligning LLM capabilities with each of these stages, it provides a systematic way to identify context-appropriate applications and assess their impact. The second—the </w:t>
      </w:r>
      <w:r w:rsidRPr="00E569B7">
        <w:rPr>
          <w:rStyle w:val="Strong"/>
          <w:rFonts w:eastAsiaTheme="majorEastAsia"/>
        </w:rPr>
        <w:t>LLM Multiplex Paradigm</w:t>
      </w:r>
      <w:r w:rsidRPr="00E569B7">
        <w:t>—conceptualises LLM deployment as inherently multidimensional, encompassing multimodal data integration, specialised and interoperable model architectures, cultural adaptability, and shared responsibility in governance. Together, these frameworks aim to ensure that technological advancement is matched by clinical relevance, ethical accountability, and societal benefit.</w:t>
      </w:r>
    </w:p>
    <w:p w14:paraId="7B41FE1A" w14:textId="4AB1AEC3" w:rsidR="00A87E89" w:rsidRDefault="00E569B7" w:rsidP="00E569B7">
      <w:pPr>
        <w:pStyle w:val="NormalWeb"/>
        <w:jc w:val="both"/>
      </w:pPr>
      <w:r>
        <w:t>The sections that follow will elaborate on the theoretical foundations, operational considerations, and real-world implementations of these models. Drawing on interdisciplinary literature and case studies from diverse healthcare contexts, the chapter seeks to equip clinicians, researchers, and policymakers with practical guidance for embedding LLMs into healthcare systems in ways that maximise patient outcomes while safeguarding ethical principles. By doing so, it contributes to a growing body of work on aligning AI innovations with the overarching goal of advancing global health equity.</w:t>
      </w:r>
    </w:p>
    <w:p w14:paraId="6961DEE7" w14:textId="553FC244" w:rsidR="00E569B7" w:rsidRDefault="00E569B7" w:rsidP="00E569B7">
      <w:pPr>
        <w:pStyle w:val="NormalWeb"/>
        <w:jc w:val="both"/>
      </w:pPr>
      <w:r>
        <w:lastRenderedPageBreak/>
        <w:t>References</w:t>
      </w:r>
    </w:p>
    <w:p w14:paraId="20E61066" w14:textId="50FADF7B" w:rsidR="00E569B7" w:rsidRDefault="00E569B7" w:rsidP="00E569B7">
      <w:pPr>
        <w:pStyle w:val="NormalWeb"/>
        <w:jc w:val="both"/>
      </w:pPr>
      <w:r>
        <w:t>Introduction</w:t>
      </w:r>
    </w:p>
    <w:p w14:paraId="3E7C1A29" w14:textId="7A8642BE" w:rsidR="00E569B7" w:rsidRPr="00E569B7" w:rsidRDefault="00E569B7" w:rsidP="00E569B7">
      <w:pPr>
        <w:pStyle w:val="NormalWeb"/>
        <w:jc w:val="both"/>
      </w:pPr>
      <w:r w:rsidRPr="00E569B7">
        <w:t></w:t>
      </w:r>
      <w:r>
        <w:t xml:space="preserve"> </w:t>
      </w:r>
      <w:r w:rsidRPr="00E569B7">
        <w:t>Bom Masani</w:t>
      </w:r>
      <w:r w:rsidRPr="00E569B7">
        <w:t xml:space="preserve">, R., et al. (2022). </w:t>
      </w:r>
      <w:r w:rsidRPr="00E569B7">
        <w:rPr>
          <w:i/>
          <w:iCs/>
        </w:rPr>
        <w:t>On the Opportunities and Risks of Foundation Models</w:t>
      </w:r>
      <w:r w:rsidRPr="00E569B7">
        <w:t>. Stanford Institute for Human-</w:t>
      </w:r>
      <w:r w:rsidRPr="00E569B7">
        <w:t>Cantered</w:t>
      </w:r>
      <w:r w:rsidRPr="00E569B7">
        <w:t xml:space="preserve"> Artificial Intelligence.</w:t>
      </w:r>
    </w:p>
    <w:p w14:paraId="3A0471B5" w14:textId="2F52F520" w:rsidR="00E569B7" w:rsidRPr="00E569B7" w:rsidRDefault="00E569B7" w:rsidP="00E569B7">
      <w:pPr>
        <w:pStyle w:val="NormalWeb"/>
        <w:jc w:val="both"/>
      </w:pPr>
      <w:r w:rsidRPr="00E569B7">
        <w:t> Jiang</w:t>
      </w:r>
      <w:r w:rsidRPr="00E569B7">
        <w:t xml:space="preserve">, Z., et al. (2023). “Artificial Intelligence for Healthcare: Large Language Models in Clinical Contexts.” </w:t>
      </w:r>
      <w:r w:rsidRPr="00E569B7">
        <w:rPr>
          <w:i/>
          <w:iCs/>
        </w:rPr>
        <w:t>Nature Medicine</w:t>
      </w:r>
      <w:r w:rsidRPr="00E569B7">
        <w:t>.</w:t>
      </w:r>
    </w:p>
    <w:p w14:paraId="578B0C49" w14:textId="22E94A95" w:rsidR="00E569B7" w:rsidRPr="00E569B7" w:rsidRDefault="00E569B7" w:rsidP="00E569B7">
      <w:pPr>
        <w:pStyle w:val="NormalWeb"/>
        <w:jc w:val="both"/>
      </w:pPr>
      <w:r w:rsidRPr="00E569B7">
        <w:t> OECD</w:t>
      </w:r>
      <w:r w:rsidRPr="00E569B7">
        <w:t xml:space="preserve">. (2021). </w:t>
      </w:r>
      <w:r w:rsidRPr="00E569B7">
        <w:rPr>
          <w:i/>
          <w:iCs/>
        </w:rPr>
        <w:t xml:space="preserve">Health </w:t>
      </w:r>
      <w:proofErr w:type="gramStart"/>
      <w:r w:rsidRPr="00E569B7">
        <w:rPr>
          <w:i/>
          <w:iCs/>
        </w:rPr>
        <w:t>at a Glance</w:t>
      </w:r>
      <w:proofErr w:type="gramEnd"/>
      <w:r w:rsidRPr="00E569B7">
        <w:rPr>
          <w:i/>
          <w:iCs/>
        </w:rPr>
        <w:t xml:space="preserve"> 2021: OECD Indicators</w:t>
      </w:r>
      <w:r w:rsidRPr="00E569B7">
        <w:t>. OECD Publishing.</w:t>
      </w:r>
    </w:p>
    <w:p w14:paraId="0C633D11" w14:textId="0C77FA95" w:rsidR="00E569B7" w:rsidRPr="00E569B7" w:rsidRDefault="00E569B7" w:rsidP="00E569B7">
      <w:pPr>
        <w:pStyle w:val="NormalWeb"/>
        <w:jc w:val="both"/>
      </w:pPr>
      <w:r w:rsidRPr="00E569B7">
        <w:t> Thirunavukkarasu</w:t>
      </w:r>
      <w:r w:rsidRPr="00E569B7">
        <w:t xml:space="preserve">, A. J., et al. (2023). “Large Language Models in Medicine.” </w:t>
      </w:r>
      <w:r w:rsidRPr="00E569B7">
        <w:rPr>
          <w:i/>
          <w:iCs/>
        </w:rPr>
        <w:t>The Lancet Digital Health</w:t>
      </w:r>
      <w:r w:rsidRPr="00E569B7">
        <w:t>.</w:t>
      </w:r>
    </w:p>
    <w:p w14:paraId="562A61E8" w14:textId="1302E866" w:rsidR="00E569B7" w:rsidRPr="00E569B7" w:rsidRDefault="00E569B7" w:rsidP="00E569B7">
      <w:pPr>
        <w:pStyle w:val="NormalWeb"/>
        <w:jc w:val="both"/>
      </w:pPr>
      <w:r w:rsidRPr="00E569B7">
        <w:t> Topol</w:t>
      </w:r>
      <w:r w:rsidRPr="00E569B7">
        <w:t xml:space="preserve">, E. (2019). </w:t>
      </w:r>
      <w:r w:rsidRPr="00E569B7">
        <w:rPr>
          <w:i/>
          <w:iCs/>
        </w:rPr>
        <w:t>Deep Medicine: How Artificial Intelligence Can Make Healthcare Human Again</w:t>
      </w:r>
      <w:r w:rsidRPr="00E569B7">
        <w:t>. Basic Books.</w:t>
      </w:r>
    </w:p>
    <w:p w14:paraId="32FAEBFB" w14:textId="5C80D027" w:rsidR="00E569B7" w:rsidRPr="00E569B7" w:rsidRDefault="00E569B7" w:rsidP="00E569B7">
      <w:pPr>
        <w:pStyle w:val="NormalWeb"/>
        <w:jc w:val="both"/>
      </w:pPr>
      <w:r w:rsidRPr="00E569B7">
        <w:t> United</w:t>
      </w:r>
      <w:r w:rsidRPr="00E569B7">
        <w:t xml:space="preserve"> Nations. (2015). </w:t>
      </w:r>
      <w:r w:rsidRPr="00E569B7">
        <w:rPr>
          <w:i/>
          <w:iCs/>
        </w:rPr>
        <w:t>Transforming our world: the 2030 Agenda for Sustainable Development</w:t>
      </w:r>
      <w:r w:rsidRPr="00E569B7">
        <w:t>. United Nations.</w:t>
      </w:r>
    </w:p>
    <w:p w14:paraId="5F3BC8D5" w14:textId="2A0A5D04" w:rsidR="00E569B7" w:rsidRPr="00E569B7" w:rsidRDefault="00E569B7" w:rsidP="00E569B7">
      <w:pPr>
        <w:pStyle w:val="NormalWeb"/>
        <w:jc w:val="both"/>
      </w:pPr>
      <w:r w:rsidRPr="00E569B7">
        <w:t> WHO</w:t>
      </w:r>
      <w:r w:rsidRPr="00E569B7">
        <w:t xml:space="preserve">. (2021). </w:t>
      </w:r>
      <w:r w:rsidRPr="00E569B7">
        <w:rPr>
          <w:i/>
          <w:iCs/>
        </w:rPr>
        <w:t>Global strategy on digital health 2020–2025</w:t>
      </w:r>
      <w:r w:rsidRPr="00E569B7">
        <w:t>. World Health Organization.</w:t>
      </w:r>
    </w:p>
    <w:p w14:paraId="6F97C8F8" w14:textId="77777777" w:rsidR="00E569B7" w:rsidRDefault="00E569B7" w:rsidP="00E569B7">
      <w:pPr>
        <w:pStyle w:val="NormalWeb"/>
        <w:jc w:val="both"/>
      </w:pPr>
    </w:p>
    <w:sectPr w:rsidR="00E56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1F1FC3"/>
    <w:multiLevelType w:val="hybridMultilevel"/>
    <w:tmpl w:val="F22654A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8062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E89"/>
    <w:rsid w:val="0081351C"/>
    <w:rsid w:val="00A87E89"/>
    <w:rsid w:val="00E56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018A7"/>
  <w15:chartTrackingRefBased/>
  <w15:docId w15:val="{E8CBB133-FE4E-4183-BC73-F38FF2A45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E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E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E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E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E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E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E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E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E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E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E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E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E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E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E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E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E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E89"/>
    <w:rPr>
      <w:rFonts w:eastAsiaTheme="majorEastAsia" w:cstheme="majorBidi"/>
      <w:color w:val="272727" w:themeColor="text1" w:themeTint="D8"/>
    </w:rPr>
  </w:style>
  <w:style w:type="paragraph" w:styleId="Title">
    <w:name w:val="Title"/>
    <w:basedOn w:val="Normal"/>
    <w:next w:val="Normal"/>
    <w:link w:val="TitleChar"/>
    <w:uiPriority w:val="10"/>
    <w:qFormat/>
    <w:rsid w:val="00A87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E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E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E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E89"/>
    <w:pPr>
      <w:spacing w:before="160"/>
      <w:jc w:val="center"/>
    </w:pPr>
    <w:rPr>
      <w:i/>
      <w:iCs/>
      <w:color w:val="404040" w:themeColor="text1" w:themeTint="BF"/>
    </w:rPr>
  </w:style>
  <w:style w:type="character" w:customStyle="1" w:styleId="QuoteChar">
    <w:name w:val="Quote Char"/>
    <w:basedOn w:val="DefaultParagraphFont"/>
    <w:link w:val="Quote"/>
    <w:uiPriority w:val="29"/>
    <w:rsid w:val="00A87E89"/>
    <w:rPr>
      <w:i/>
      <w:iCs/>
      <w:color w:val="404040" w:themeColor="text1" w:themeTint="BF"/>
    </w:rPr>
  </w:style>
  <w:style w:type="paragraph" w:styleId="ListParagraph">
    <w:name w:val="List Paragraph"/>
    <w:basedOn w:val="Normal"/>
    <w:uiPriority w:val="34"/>
    <w:qFormat/>
    <w:rsid w:val="00A87E89"/>
    <w:pPr>
      <w:ind w:left="720"/>
      <w:contextualSpacing/>
    </w:pPr>
  </w:style>
  <w:style w:type="character" w:styleId="IntenseEmphasis">
    <w:name w:val="Intense Emphasis"/>
    <w:basedOn w:val="DefaultParagraphFont"/>
    <w:uiPriority w:val="21"/>
    <w:qFormat/>
    <w:rsid w:val="00A87E89"/>
    <w:rPr>
      <w:i/>
      <w:iCs/>
      <w:color w:val="0F4761" w:themeColor="accent1" w:themeShade="BF"/>
    </w:rPr>
  </w:style>
  <w:style w:type="paragraph" w:styleId="IntenseQuote">
    <w:name w:val="Intense Quote"/>
    <w:basedOn w:val="Normal"/>
    <w:next w:val="Normal"/>
    <w:link w:val="IntenseQuoteChar"/>
    <w:uiPriority w:val="30"/>
    <w:qFormat/>
    <w:rsid w:val="00A87E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E89"/>
    <w:rPr>
      <w:i/>
      <w:iCs/>
      <w:color w:val="0F4761" w:themeColor="accent1" w:themeShade="BF"/>
    </w:rPr>
  </w:style>
  <w:style w:type="character" w:styleId="IntenseReference">
    <w:name w:val="Intense Reference"/>
    <w:basedOn w:val="DefaultParagraphFont"/>
    <w:uiPriority w:val="32"/>
    <w:qFormat/>
    <w:rsid w:val="00A87E89"/>
    <w:rPr>
      <w:b/>
      <w:bCs/>
      <w:smallCaps/>
      <w:color w:val="0F4761" w:themeColor="accent1" w:themeShade="BF"/>
      <w:spacing w:val="5"/>
    </w:rPr>
  </w:style>
  <w:style w:type="paragraph" w:styleId="NormalWeb">
    <w:name w:val="Normal (Web)"/>
    <w:basedOn w:val="Normal"/>
    <w:uiPriority w:val="99"/>
    <w:unhideWhenUsed/>
    <w:rsid w:val="00E569B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E569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Rai</dc:creator>
  <cp:keywords/>
  <dc:description/>
  <cp:lastModifiedBy>Anurag Rai</cp:lastModifiedBy>
  <cp:revision>1</cp:revision>
  <dcterms:created xsi:type="dcterms:W3CDTF">2025-08-12T07:16:00Z</dcterms:created>
  <dcterms:modified xsi:type="dcterms:W3CDTF">2025-08-12T07:33:00Z</dcterms:modified>
</cp:coreProperties>
</file>