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7153E" w14:textId="77777777" w:rsidR="00F75D01" w:rsidRDefault="00F75D01" w:rsidP="00F75D01">
      <w:pPr>
        <w:rPr>
          <w:b/>
          <w:bCs/>
          <w:sz w:val="28"/>
          <w:szCs w:val="28"/>
          <w:u w:val="single"/>
        </w:rPr>
      </w:pPr>
    </w:p>
    <w:p w14:paraId="3905BC68" w14:textId="78A36C85" w:rsidR="00F75D01" w:rsidRPr="00F75D01" w:rsidRDefault="00F75D01" w:rsidP="00F75D01">
      <w:pPr>
        <w:rPr>
          <w:b/>
          <w:bCs/>
          <w:sz w:val="28"/>
          <w:szCs w:val="28"/>
          <w:u w:val="single"/>
        </w:rPr>
      </w:pPr>
      <w:r w:rsidRPr="00F75D01">
        <w:rPr>
          <w:b/>
          <w:bCs/>
          <w:sz w:val="28"/>
          <w:szCs w:val="28"/>
          <w:u w:val="single"/>
        </w:rPr>
        <w:t>Executive Summary</w:t>
      </w:r>
    </w:p>
    <w:p w14:paraId="2C19B57A" w14:textId="77777777" w:rsidR="00F75D01" w:rsidRPr="00F75D01" w:rsidRDefault="00F75D01" w:rsidP="00F75D01">
      <w:pPr>
        <w:rPr>
          <w:sz w:val="28"/>
          <w:szCs w:val="28"/>
        </w:rPr>
      </w:pPr>
      <w:r w:rsidRPr="00F75D01">
        <w:rPr>
          <w:sz w:val="28"/>
          <w:szCs w:val="28"/>
        </w:rPr>
        <w:t xml:space="preserve">This report provides an in-depth analysis of Adidas' sales performance across various dimensions, including </w:t>
      </w:r>
      <w:r w:rsidRPr="00F75D01">
        <w:rPr>
          <w:b/>
          <w:bCs/>
          <w:sz w:val="28"/>
          <w:szCs w:val="28"/>
        </w:rPr>
        <w:t>product categories, retailers, regions, sales channels, and time trends</w:t>
      </w:r>
      <w:r w:rsidRPr="00F75D01">
        <w:rPr>
          <w:sz w:val="28"/>
          <w:szCs w:val="28"/>
        </w:rPr>
        <w:t>. The objective is to identify key trends, sales drivers, and opportunities for growth.</w:t>
      </w:r>
    </w:p>
    <w:p w14:paraId="7153DF09" w14:textId="77777777" w:rsidR="00F75D01" w:rsidRPr="00F75D01" w:rsidRDefault="00F75D01" w:rsidP="00F75D01">
      <w:pPr>
        <w:rPr>
          <w:sz w:val="28"/>
          <w:szCs w:val="28"/>
        </w:rPr>
      </w:pPr>
      <w:r w:rsidRPr="00F75D01">
        <w:rPr>
          <w:sz w:val="28"/>
          <w:szCs w:val="28"/>
        </w:rPr>
        <w:t>Key insights from the analysis:</w:t>
      </w:r>
      <w:r w:rsidRPr="00F75D01">
        <w:rPr>
          <w:sz w:val="28"/>
          <w:szCs w:val="28"/>
        </w:rPr>
        <w:br/>
      </w:r>
      <w:r w:rsidRPr="00F75D01">
        <w:rPr>
          <w:rFonts w:ascii="Segoe UI Emoji" w:hAnsi="Segoe UI Emoji" w:cs="Segoe UI Emoji"/>
          <w:sz w:val="28"/>
          <w:szCs w:val="28"/>
        </w:rPr>
        <w:t>✔️</w:t>
      </w:r>
      <w:r w:rsidRPr="00F75D01">
        <w:rPr>
          <w:sz w:val="28"/>
          <w:szCs w:val="28"/>
        </w:rPr>
        <w:t xml:space="preserve"> </w:t>
      </w:r>
      <w:r w:rsidRPr="00F75D01">
        <w:rPr>
          <w:b/>
          <w:bCs/>
          <w:sz w:val="28"/>
          <w:szCs w:val="28"/>
        </w:rPr>
        <w:t>Total sales revenue:</w:t>
      </w:r>
      <w:r w:rsidRPr="00F75D01">
        <w:rPr>
          <w:sz w:val="28"/>
          <w:szCs w:val="28"/>
        </w:rPr>
        <w:t xml:space="preserve"> $899.90M</w:t>
      </w:r>
      <w:r w:rsidRPr="00F75D01">
        <w:rPr>
          <w:sz w:val="28"/>
          <w:szCs w:val="28"/>
        </w:rPr>
        <w:br/>
      </w:r>
      <w:r w:rsidRPr="00F75D01">
        <w:rPr>
          <w:rFonts w:ascii="Segoe UI Emoji" w:hAnsi="Segoe UI Emoji" w:cs="Segoe UI Emoji"/>
          <w:sz w:val="28"/>
          <w:szCs w:val="28"/>
        </w:rPr>
        <w:t>✔️</w:t>
      </w:r>
      <w:r w:rsidRPr="00F75D01">
        <w:rPr>
          <w:sz w:val="28"/>
          <w:szCs w:val="28"/>
        </w:rPr>
        <w:t xml:space="preserve"> </w:t>
      </w:r>
      <w:r w:rsidRPr="00F75D01">
        <w:rPr>
          <w:b/>
          <w:bCs/>
          <w:sz w:val="28"/>
          <w:szCs w:val="28"/>
        </w:rPr>
        <w:t>Highest revenue-generating retailer:</w:t>
      </w:r>
      <w:r w:rsidRPr="00F75D01">
        <w:rPr>
          <w:sz w:val="28"/>
          <w:szCs w:val="28"/>
        </w:rPr>
        <w:t xml:space="preserve"> West Gear ($242.96M)</w:t>
      </w:r>
      <w:r w:rsidRPr="00F75D01">
        <w:rPr>
          <w:sz w:val="28"/>
          <w:szCs w:val="28"/>
        </w:rPr>
        <w:br/>
      </w:r>
      <w:r w:rsidRPr="00F75D01">
        <w:rPr>
          <w:rFonts w:ascii="Segoe UI Emoji" w:hAnsi="Segoe UI Emoji" w:cs="Segoe UI Emoji"/>
          <w:sz w:val="28"/>
          <w:szCs w:val="28"/>
        </w:rPr>
        <w:t>✔️</w:t>
      </w:r>
      <w:r w:rsidRPr="00F75D01">
        <w:rPr>
          <w:sz w:val="28"/>
          <w:szCs w:val="28"/>
        </w:rPr>
        <w:t xml:space="preserve"> </w:t>
      </w:r>
      <w:r w:rsidRPr="00F75D01">
        <w:rPr>
          <w:b/>
          <w:bCs/>
          <w:sz w:val="28"/>
          <w:szCs w:val="28"/>
        </w:rPr>
        <w:t>Best-performing product category:</w:t>
      </w:r>
      <w:r w:rsidRPr="00F75D01">
        <w:rPr>
          <w:sz w:val="28"/>
          <w:szCs w:val="28"/>
        </w:rPr>
        <w:t xml:space="preserve"> Men's Street Footwear ($208.83M)</w:t>
      </w:r>
      <w:r w:rsidRPr="00F75D01">
        <w:rPr>
          <w:sz w:val="28"/>
          <w:szCs w:val="28"/>
        </w:rPr>
        <w:br/>
      </w:r>
      <w:r w:rsidRPr="00F75D01">
        <w:rPr>
          <w:rFonts w:ascii="Segoe UI Emoji" w:hAnsi="Segoe UI Emoji" w:cs="Segoe UI Emoji"/>
          <w:sz w:val="28"/>
          <w:szCs w:val="28"/>
        </w:rPr>
        <w:t>✔️</w:t>
      </w:r>
      <w:r w:rsidRPr="00F75D01">
        <w:rPr>
          <w:sz w:val="28"/>
          <w:szCs w:val="28"/>
        </w:rPr>
        <w:t xml:space="preserve"> </w:t>
      </w:r>
      <w:r w:rsidRPr="00F75D01">
        <w:rPr>
          <w:b/>
          <w:bCs/>
          <w:sz w:val="28"/>
          <w:szCs w:val="28"/>
        </w:rPr>
        <w:t>Strongest sales channel:</w:t>
      </w:r>
      <w:r w:rsidRPr="00F75D01">
        <w:rPr>
          <w:sz w:val="28"/>
          <w:szCs w:val="28"/>
        </w:rPr>
        <w:t xml:space="preserve"> In-store ($356.64M)</w:t>
      </w:r>
      <w:r w:rsidRPr="00F75D01">
        <w:rPr>
          <w:sz w:val="28"/>
          <w:szCs w:val="28"/>
        </w:rPr>
        <w:br/>
      </w:r>
      <w:r w:rsidRPr="00F75D01">
        <w:rPr>
          <w:rFonts w:ascii="Segoe UI Emoji" w:hAnsi="Segoe UI Emoji" w:cs="Segoe UI Emoji"/>
          <w:sz w:val="28"/>
          <w:szCs w:val="28"/>
        </w:rPr>
        <w:t>✔️</w:t>
      </w:r>
      <w:r w:rsidRPr="00F75D01">
        <w:rPr>
          <w:sz w:val="28"/>
          <w:szCs w:val="28"/>
        </w:rPr>
        <w:t xml:space="preserve"> </w:t>
      </w:r>
      <w:r w:rsidRPr="00F75D01">
        <w:rPr>
          <w:b/>
          <w:bCs/>
          <w:sz w:val="28"/>
          <w:szCs w:val="28"/>
        </w:rPr>
        <w:t>Highest sales region:</w:t>
      </w:r>
      <w:r w:rsidRPr="00F75D01">
        <w:rPr>
          <w:sz w:val="28"/>
          <w:szCs w:val="28"/>
        </w:rPr>
        <w:t xml:space="preserve"> West ($269.94M)</w:t>
      </w:r>
      <w:r w:rsidRPr="00F75D01">
        <w:rPr>
          <w:sz w:val="28"/>
          <w:szCs w:val="28"/>
        </w:rPr>
        <w:br/>
      </w:r>
      <w:r w:rsidRPr="00F75D01">
        <w:rPr>
          <w:rFonts w:ascii="Segoe UI Emoji" w:hAnsi="Segoe UI Emoji" w:cs="Segoe UI Emoji"/>
          <w:sz w:val="28"/>
          <w:szCs w:val="28"/>
        </w:rPr>
        <w:t>✔️</w:t>
      </w:r>
      <w:r w:rsidRPr="00F75D01">
        <w:rPr>
          <w:sz w:val="28"/>
          <w:szCs w:val="28"/>
        </w:rPr>
        <w:t xml:space="preserve"> </w:t>
      </w:r>
      <w:r w:rsidRPr="00F75D01">
        <w:rPr>
          <w:b/>
          <w:bCs/>
          <w:sz w:val="28"/>
          <w:szCs w:val="28"/>
        </w:rPr>
        <w:t>Year-over-year growth:</w:t>
      </w:r>
      <w:r w:rsidRPr="00F75D01">
        <w:rPr>
          <w:sz w:val="28"/>
          <w:szCs w:val="28"/>
        </w:rPr>
        <w:t xml:space="preserve"> 294.23% (from 2020 to 2021)</w:t>
      </w:r>
      <w:r w:rsidRPr="00F75D01">
        <w:rPr>
          <w:sz w:val="28"/>
          <w:szCs w:val="28"/>
        </w:rPr>
        <w:br/>
      </w:r>
      <w:r w:rsidRPr="00F75D01">
        <w:rPr>
          <w:rFonts w:ascii="Segoe UI Emoji" w:hAnsi="Segoe UI Emoji" w:cs="Segoe UI Emoji"/>
          <w:sz w:val="28"/>
          <w:szCs w:val="28"/>
        </w:rPr>
        <w:t>✔️</w:t>
      </w:r>
      <w:r w:rsidRPr="00F75D01">
        <w:rPr>
          <w:sz w:val="28"/>
          <w:szCs w:val="28"/>
        </w:rPr>
        <w:t xml:space="preserve"> </w:t>
      </w:r>
      <w:r w:rsidRPr="00F75D01">
        <w:rPr>
          <w:b/>
          <w:bCs/>
          <w:sz w:val="28"/>
          <w:szCs w:val="28"/>
        </w:rPr>
        <w:t>Operating Margin:</w:t>
      </w:r>
      <w:r w:rsidRPr="00F75D01">
        <w:rPr>
          <w:sz w:val="28"/>
          <w:szCs w:val="28"/>
        </w:rPr>
        <w:t xml:space="preserve"> 36.91%</w:t>
      </w:r>
    </w:p>
    <w:p w14:paraId="776B8108" w14:textId="77777777" w:rsidR="00BB330F" w:rsidRDefault="00BB330F">
      <w:pPr>
        <w:rPr>
          <w:sz w:val="28"/>
          <w:szCs w:val="28"/>
        </w:rPr>
      </w:pPr>
    </w:p>
    <w:p w14:paraId="52A90E0D" w14:textId="77777777" w:rsidR="00F75D01" w:rsidRPr="00F75D01" w:rsidRDefault="00F75D01" w:rsidP="00F75D01">
      <w:pPr>
        <w:rPr>
          <w:b/>
          <w:bCs/>
          <w:sz w:val="28"/>
          <w:szCs w:val="28"/>
          <w:u w:val="single"/>
        </w:rPr>
      </w:pPr>
      <w:r w:rsidRPr="00F75D01">
        <w:rPr>
          <w:b/>
          <w:bCs/>
          <w:sz w:val="28"/>
          <w:szCs w:val="28"/>
          <w:u w:val="single"/>
        </w:rPr>
        <w:t>2. Sales Performance Overview</w:t>
      </w:r>
    </w:p>
    <w:p w14:paraId="3A8CEFC0" w14:textId="77777777" w:rsidR="00F75D01" w:rsidRPr="00F75D01" w:rsidRDefault="00F75D01" w:rsidP="00F75D01">
      <w:pPr>
        <w:rPr>
          <w:b/>
          <w:bCs/>
          <w:sz w:val="28"/>
          <w:szCs w:val="28"/>
        </w:rPr>
      </w:pPr>
      <w:r w:rsidRPr="00F75D01">
        <w:rPr>
          <w:b/>
          <w:bCs/>
          <w:sz w:val="28"/>
          <w:szCs w:val="28"/>
        </w:rPr>
        <w:t>2.1 Total Sales &amp; Growth Trend</w:t>
      </w:r>
    </w:p>
    <w:p w14:paraId="4BD66939" w14:textId="12C96554" w:rsidR="00F75D01" w:rsidRPr="00F75D01" w:rsidRDefault="00F75D01" w:rsidP="00F75D01">
      <w:pPr>
        <w:numPr>
          <w:ilvl w:val="0"/>
          <w:numId w:val="1"/>
        </w:numPr>
        <w:rPr>
          <w:sz w:val="28"/>
          <w:szCs w:val="28"/>
        </w:rPr>
      </w:pPr>
      <w:r w:rsidRPr="00F75D01">
        <w:rPr>
          <w:sz w:val="28"/>
          <w:szCs w:val="28"/>
        </w:rPr>
        <w:t xml:space="preserve">Adidas generated </w:t>
      </w:r>
      <w:r w:rsidRPr="00F75D01">
        <w:rPr>
          <w:b/>
          <w:bCs/>
          <w:sz w:val="28"/>
          <w:szCs w:val="28"/>
        </w:rPr>
        <w:t>$899.90M</w:t>
      </w:r>
      <w:r w:rsidRPr="00F75D01">
        <w:rPr>
          <w:sz w:val="28"/>
          <w:szCs w:val="28"/>
        </w:rPr>
        <w:t xml:space="preserve"> in total sales over the </w:t>
      </w:r>
      <w:r w:rsidRPr="00F75D01">
        <w:rPr>
          <w:sz w:val="28"/>
          <w:szCs w:val="28"/>
        </w:rPr>
        <w:t>analysed</w:t>
      </w:r>
      <w:r w:rsidRPr="00F75D01">
        <w:rPr>
          <w:sz w:val="28"/>
          <w:szCs w:val="28"/>
        </w:rPr>
        <w:t xml:space="preserve"> period.</w:t>
      </w:r>
    </w:p>
    <w:p w14:paraId="7B8F8CB1" w14:textId="77777777" w:rsidR="00F75D01" w:rsidRPr="00F75D01" w:rsidRDefault="00F75D01" w:rsidP="00F75D01">
      <w:pPr>
        <w:numPr>
          <w:ilvl w:val="0"/>
          <w:numId w:val="1"/>
        </w:numPr>
        <w:rPr>
          <w:sz w:val="28"/>
          <w:szCs w:val="28"/>
        </w:rPr>
      </w:pPr>
      <w:r w:rsidRPr="00F75D01">
        <w:rPr>
          <w:sz w:val="28"/>
          <w:szCs w:val="28"/>
        </w:rPr>
        <w:t xml:space="preserve">Sales significantly increased from </w:t>
      </w:r>
      <w:r w:rsidRPr="00F75D01">
        <w:rPr>
          <w:b/>
          <w:bCs/>
          <w:sz w:val="28"/>
          <w:szCs w:val="28"/>
        </w:rPr>
        <w:t>$182.08M in 2020</w:t>
      </w:r>
      <w:r w:rsidRPr="00F75D01">
        <w:rPr>
          <w:sz w:val="28"/>
          <w:szCs w:val="28"/>
        </w:rPr>
        <w:t xml:space="preserve"> to </w:t>
      </w:r>
      <w:r w:rsidRPr="00F75D01">
        <w:rPr>
          <w:b/>
          <w:bCs/>
          <w:sz w:val="28"/>
          <w:szCs w:val="28"/>
        </w:rPr>
        <w:t>$717.82M in 2021</w:t>
      </w:r>
      <w:r w:rsidRPr="00F75D01">
        <w:rPr>
          <w:sz w:val="28"/>
          <w:szCs w:val="28"/>
        </w:rPr>
        <w:t xml:space="preserve">, reflecting a </w:t>
      </w:r>
      <w:r w:rsidRPr="00F75D01">
        <w:rPr>
          <w:b/>
          <w:bCs/>
          <w:sz w:val="28"/>
          <w:szCs w:val="28"/>
        </w:rPr>
        <w:t>294.23% growth</w:t>
      </w:r>
      <w:r w:rsidRPr="00F75D01">
        <w:rPr>
          <w:sz w:val="28"/>
          <w:szCs w:val="28"/>
        </w:rPr>
        <w:t>.</w:t>
      </w:r>
    </w:p>
    <w:p w14:paraId="4D154C19" w14:textId="77777777" w:rsidR="00F75D01" w:rsidRPr="00F75D01" w:rsidRDefault="00F75D01" w:rsidP="00F75D01">
      <w:pPr>
        <w:numPr>
          <w:ilvl w:val="0"/>
          <w:numId w:val="1"/>
        </w:numPr>
        <w:rPr>
          <w:sz w:val="28"/>
          <w:szCs w:val="28"/>
        </w:rPr>
      </w:pPr>
      <w:r w:rsidRPr="00F75D01">
        <w:rPr>
          <w:sz w:val="28"/>
          <w:szCs w:val="28"/>
        </w:rPr>
        <w:t xml:space="preserve">The highest sales occurred in </w:t>
      </w:r>
      <w:r w:rsidRPr="00F75D01">
        <w:rPr>
          <w:b/>
          <w:bCs/>
          <w:sz w:val="28"/>
          <w:szCs w:val="28"/>
        </w:rPr>
        <w:t>Q3 ($265.31M) and Q4 ($217.61M)</w:t>
      </w:r>
      <w:r w:rsidRPr="00F75D01">
        <w:rPr>
          <w:sz w:val="28"/>
          <w:szCs w:val="28"/>
        </w:rPr>
        <w:t>, suggesting strong holiday and end-of-year sales performance.</w:t>
      </w:r>
    </w:p>
    <w:p w14:paraId="2C3868C1" w14:textId="77777777" w:rsidR="00F75D01" w:rsidRPr="00F75D01" w:rsidRDefault="00F75D01" w:rsidP="00F75D01">
      <w:pPr>
        <w:rPr>
          <w:b/>
          <w:bCs/>
          <w:sz w:val="28"/>
          <w:szCs w:val="28"/>
        </w:rPr>
      </w:pPr>
      <w:r w:rsidRPr="00F75D01">
        <w:rPr>
          <w:b/>
          <w:bCs/>
          <w:sz w:val="28"/>
          <w:szCs w:val="28"/>
        </w:rPr>
        <w:t>2.3 Sales by Retailer</w:t>
      </w:r>
    </w:p>
    <w:p w14:paraId="0B1777B4" w14:textId="77777777" w:rsidR="00F75D01" w:rsidRPr="00F75D01" w:rsidRDefault="00F75D01" w:rsidP="00F75D01">
      <w:pPr>
        <w:numPr>
          <w:ilvl w:val="0"/>
          <w:numId w:val="2"/>
        </w:numPr>
        <w:rPr>
          <w:sz w:val="28"/>
          <w:szCs w:val="28"/>
        </w:rPr>
      </w:pPr>
      <w:r w:rsidRPr="00F75D01">
        <w:rPr>
          <w:b/>
          <w:bCs/>
          <w:sz w:val="28"/>
          <w:szCs w:val="28"/>
        </w:rPr>
        <w:t>West Gear was the leading retailer ($242.96M)</w:t>
      </w:r>
      <w:r w:rsidRPr="00F75D01">
        <w:rPr>
          <w:sz w:val="28"/>
          <w:szCs w:val="28"/>
        </w:rPr>
        <w:t xml:space="preserve">, followed by </w:t>
      </w:r>
      <w:r w:rsidRPr="00F75D01">
        <w:rPr>
          <w:b/>
          <w:bCs/>
          <w:sz w:val="28"/>
          <w:szCs w:val="28"/>
        </w:rPr>
        <w:t>Foot Locker ($220.09M)</w:t>
      </w:r>
      <w:r w:rsidRPr="00F75D01">
        <w:rPr>
          <w:sz w:val="28"/>
          <w:szCs w:val="28"/>
        </w:rPr>
        <w:t xml:space="preserve"> and </w:t>
      </w:r>
      <w:r w:rsidRPr="00F75D01">
        <w:rPr>
          <w:b/>
          <w:bCs/>
          <w:sz w:val="28"/>
          <w:szCs w:val="28"/>
        </w:rPr>
        <w:t>Sports Direct ($182.47M)</w:t>
      </w:r>
      <w:r w:rsidRPr="00F75D01">
        <w:rPr>
          <w:sz w:val="28"/>
          <w:szCs w:val="28"/>
        </w:rPr>
        <w:t>.</w:t>
      </w:r>
    </w:p>
    <w:p w14:paraId="1E57E1BA" w14:textId="77777777" w:rsidR="00F75D01" w:rsidRPr="00F75D01" w:rsidRDefault="00F75D01" w:rsidP="00F75D01">
      <w:pPr>
        <w:numPr>
          <w:ilvl w:val="0"/>
          <w:numId w:val="2"/>
        </w:numPr>
        <w:rPr>
          <w:sz w:val="28"/>
          <w:szCs w:val="28"/>
        </w:rPr>
      </w:pPr>
      <w:r w:rsidRPr="00F75D01">
        <w:rPr>
          <w:sz w:val="28"/>
          <w:szCs w:val="28"/>
        </w:rPr>
        <w:t>Amazon and Walmart had relatively lower sales contributions, possibly due to lower product availability or online competition.</w:t>
      </w:r>
    </w:p>
    <w:p w14:paraId="2A627ED3" w14:textId="77777777" w:rsidR="00F75D01" w:rsidRPr="00F75D01" w:rsidRDefault="00F75D01" w:rsidP="00F75D01">
      <w:pPr>
        <w:rPr>
          <w:b/>
          <w:bCs/>
          <w:sz w:val="28"/>
          <w:szCs w:val="28"/>
        </w:rPr>
      </w:pPr>
      <w:r w:rsidRPr="00F75D01">
        <w:rPr>
          <w:b/>
          <w:bCs/>
          <w:sz w:val="28"/>
          <w:szCs w:val="28"/>
        </w:rPr>
        <w:t>2.4 Sales by Channel (Sales Method)</w:t>
      </w:r>
    </w:p>
    <w:p w14:paraId="1FA83D25" w14:textId="77777777" w:rsidR="00F75D01" w:rsidRPr="00F75D01" w:rsidRDefault="00F75D01" w:rsidP="00F75D01">
      <w:pPr>
        <w:numPr>
          <w:ilvl w:val="0"/>
          <w:numId w:val="3"/>
        </w:numPr>
        <w:rPr>
          <w:sz w:val="28"/>
          <w:szCs w:val="28"/>
        </w:rPr>
      </w:pPr>
      <w:r w:rsidRPr="00F75D01">
        <w:rPr>
          <w:b/>
          <w:bCs/>
          <w:sz w:val="28"/>
          <w:szCs w:val="28"/>
        </w:rPr>
        <w:t>In-store sales accounted for $356.64M</w:t>
      </w:r>
      <w:r w:rsidRPr="00F75D01">
        <w:rPr>
          <w:sz w:val="28"/>
          <w:szCs w:val="28"/>
        </w:rPr>
        <w:t>, making it the strongest sales channel.</w:t>
      </w:r>
    </w:p>
    <w:p w14:paraId="143E7BC7" w14:textId="77777777" w:rsidR="00F75D01" w:rsidRPr="00F75D01" w:rsidRDefault="00F75D01" w:rsidP="00F75D01">
      <w:pPr>
        <w:numPr>
          <w:ilvl w:val="0"/>
          <w:numId w:val="3"/>
        </w:numPr>
        <w:rPr>
          <w:sz w:val="28"/>
          <w:szCs w:val="28"/>
        </w:rPr>
      </w:pPr>
      <w:r w:rsidRPr="00F75D01">
        <w:rPr>
          <w:sz w:val="28"/>
          <w:szCs w:val="28"/>
        </w:rPr>
        <w:lastRenderedPageBreak/>
        <w:t>Online sales ($247.67M) showed potential for growth, indicating a need for better digital marketing strategies.</w:t>
      </w:r>
    </w:p>
    <w:p w14:paraId="3C1F31C6" w14:textId="77777777" w:rsidR="00F75D01" w:rsidRPr="00F75D01" w:rsidRDefault="00F75D01" w:rsidP="00F75D01">
      <w:pPr>
        <w:numPr>
          <w:ilvl w:val="0"/>
          <w:numId w:val="3"/>
        </w:numPr>
        <w:rPr>
          <w:sz w:val="28"/>
          <w:szCs w:val="28"/>
        </w:rPr>
      </w:pPr>
      <w:r w:rsidRPr="00F75D01">
        <w:rPr>
          <w:sz w:val="28"/>
          <w:szCs w:val="28"/>
        </w:rPr>
        <w:t xml:space="preserve">Outlet stores contributed </w:t>
      </w:r>
      <w:r w:rsidRPr="00F75D01">
        <w:rPr>
          <w:b/>
          <w:bCs/>
          <w:sz w:val="28"/>
          <w:szCs w:val="28"/>
        </w:rPr>
        <w:t>$295.59M</w:t>
      </w:r>
      <w:r w:rsidRPr="00F75D01">
        <w:rPr>
          <w:sz w:val="28"/>
          <w:szCs w:val="28"/>
        </w:rPr>
        <w:t>, proving their importance in Adidas’ retail strategy.</w:t>
      </w:r>
    </w:p>
    <w:p w14:paraId="13C5406A" w14:textId="77777777" w:rsidR="00F75D01" w:rsidRPr="00F75D01" w:rsidRDefault="00F75D01" w:rsidP="00F75D01">
      <w:pPr>
        <w:rPr>
          <w:b/>
          <w:bCs/>
          <w:sz w:val="28"/>
          <w:szCs w:val="28"/>
        </w:rPr>
      </w:pPr>
      <w:r w:rsidRPr="00F75D01">
        <w:rPr>
          <w:b/>
          <w:bCs/>
          <w:sz w:val="28"/>
          <w:szCs w:val="28"/>
        </w:rPr>
        <w:t>2.5 Sales by Region</w:t>
      </w:r>
    </w:p>
    <w:p w14:paraId="1144E0ED" w14:textId="77777777" w:rsidR="00F75D01" w:rsidRPr="00F75D01" w:rsidRDefault="00F75D01" w:rsidP="00F75D01">
      <w:pPr>
        <w:numPr>
          <w:ilvl w:val="0"/>
          <w:numId w:val="4"/>
        </w:numPr>
        <w:rPr>
          <w:sz w:val="28"/>
          <w:szCs w:val="28"/>
        </w:rPr>
      </w:pPr>
      <w:r w:rsidRPr="00F75D01">
        <w:rPr>
          <w:b/>
          <w:bCs/>
          <w:sz w:val="28"/>
          <w:szCs w:val="28"/>
        </w:rPr>
        <w:t>West region had the highest sales ($269.94M)</w:t>
      </w:r>
      <w:r w:rsidRPr="00F75D01">
        <w:rPr>
          <w:sz w:val="28"/>
          <w:szCs w:val="28"/>
        </w:rPr>
        <w:t xml:space="preserve">, followed by </w:t>
      </w:r>
      <w:r w:rsidRPr="00F75D01">
        <w:rPr>
          <w:b/>
          <w:bCs/>
          <w:sz w:val="28"/>
          <w:szCs w:val="28"/>
        </w:rPr>
        <w:t>Northeast ($186.32M)</w:t>
      </w:r>
      <w:r w:rsidRPr="00F75D01">
        <w:rPr>
          <w:sz w:val="28"/>
          <w:szCs w:val="28"/>
        </w:rPr>
        <w:t xml:space="preserve"> and </w:t>
      </w:r>
      <w:r w:rsidRPr="00F75D01">
        <w:rPr>
          <w:b/>
          <w:bCs/>
          <w:sz w:val="28"/>
          <w:szCs w:val="28"/>
        </w:rPr>
        <w:t>Southeast ($163.17M)</w:t>
      </w:r>
      <w:r w:rsidRPr="00F75D01">
        <w:rPr>
          <w:sz w:val="28"/>
          <w:szCs w:val="28"/>
        </w:rPr>
        <w:t>.</w:t>
      </w:r>
    </w:p>
    <w:p w14:paraId="1A75A357" w14:textId="77777777" w:rsidR="00F75D01" w:rsidRPr="00F75D01" w:rsidRDefault="00F75D01" w:rsidP="00F75D01">
      <w:pPr>
        <w:numPr>
          <w:ilvl w:val="0"/>
          <w:numId w:val="4"/>
        </w:numPr>
        <w:rPr>
          <w:sz w:val="28"/>
          <w:szCs w:val="28"/>
        </w:rPr>
      </w:pPr>
      <w:r w:rsidRPr="00F75D01">
        <w:rPr>
          <w:sz w:val="28"/>
          <w:szCs w:val="28"/>
        </w:rPr>
        <w:t xml:space="preserve">The </w:t>
      </w:r>
      <w:r w:rsidRPr="00F75D01">
        <w:rPr>
          <w:b/>
          <w:bCs/>
          <w:sz w:val="28"/>
          <w:szCs w:val="28"/>
        </w:rPr>
        <w:t>Midwest region ($135.80M)</w:t>
      </w:r>
      <w:r w:rsidRPr="00F75D01">
        <w:rPr>
          <w:sz w:val="28"/>
          <w:szCs w:val="28"/>
        </w:rPr>
        <w:t xml:space="preserve"> had the lowest sales, indicating potential for market expansion.</w:t>
      </w:r>
    </w:p>
    <w:p w14:paraId="2E07FFC5" w14:textId="77777777" w:rsidR="00F75D01" w:rsidRPr="00F75D01" w:rsidRDefault="00F75D01" w:rsidP="00F75D01">
      <w:pPr>
        <w:rPr>
          <w:b/>
          <w:bCs/>
          <w:sz w:val="28"/>
          <w:szCs w:val="28"/>
        </w:rPr>
      </w:pPr>
      <w:r w:rsidRPr="00F75D01">
        <w:rPr>
          <w:b/>
          <w:bCs/>
          <w:sz w:val="28"/>
          <w:szCs w:val="28"/>
        </w:rPr>
        <w:t>2.6 Monthly Sales Trend</w:t>
      </w:r>
    </w:p>
    <w:p w14:paraId="03EC0721" w14:textId="77777777" w:rsidR="00F75D01" w:rsidRPr="00F75D01" w:rsidRDefault="00F75D01" w:rsidP="00F75D01">
      <w:pPr>
        <w:numPr>
          <w:ilvl w:val="0"/>
          <w:numId w:val="5"/>
        </w:numPr>
        <w:rPr>
          <w:sz w:val="28"/>
          <w:szCs w:val="28"/>
        </w:rPr>
      </w:pPr>
      <w:r w:rsidRPr="00F75D01">
        <w:rPr>
          <w:sz w:val="28"/>
          <w:szCs w:val="28"/>
        </w:rPr>
        <w:t xml:space="preserve">The highest sales months were </w:t>
      </w:r>
      <w:r w:rsidRPr="00F75D01">
        <w:rPr>
          <w:b/>
          <w:bCs/>
          <w:sz w:val="28"/>
          <w:szCs w:val="28"/>
        </w:rPr>
        <w:t>July ($95.48M)</w:t>
      </w:r>
      <w:r w:rsidRPr="00F75D01">
        <w:rPr>
          <w:sz w:val="28"/>
          <w:szCs w:val="28"/>
        </w:rPr>
        <w:t xml:space="preserve"> and </w:t>
      </w:r>
      <w:r w:rsidRPr="00F75D01">
        <w:rPr>
          <w:b/>
          <w:bCs/>
          <w:sz w:val="28"/>
          <w:szCs w:val="28"/>
        </w:rPr>
        <w:t>August ($92.17M)</w:t>
      </w:r>
      <w:r w:rsidRPr="00F75D01">
        <w:rPr>
          <w:sz w:val="28"/>
          <w:szCs w:val="28"/>
        </w:rPr>
        <w:t>, aligning with summer shopping trends and new releases.</w:t>
      </w:r>
    </w:p>
    <w:p w14:paraId="10DA394F" w14:textId="77777777" w:rsidR="00F75D01" w:rsidRDefault="00F75D01" w:rsidP="00F75D01">
      <w:pPr>
        <w:numPr>
          <w:ilvl w:val="0"/>
          <w:numId w:val="5"/>
        </w:numPr>
        <w:rPr>
          <w:sz w:val="28"/>
          <w:szCs w:val="28"/>
        </w:rPr>
      </w:pPr>
      <w:r w:rsidRPr="00F75D01">
        <w:rPr>
          <w:sz w:val="28"/>
          <w:szCs w:val="28"/>
        </w:rPr>
        <w:t xml:space="preserve">Sales dipped in </w:t>
      </w:r>
      <w:r w:rsidRPr="00F75D01">
        <w:rPr>
          <w:b/>
          <w:bCs/>
          <w:sz w:val="28"/>
          <w:szCs w:val="28"/>
        </w:rPr>
        <w:t>October ($63.91M)</w:t>
      </w:r>
      <w:r w:rsidRPr="00F75D01">
        <w:rPr>
          <w:sz w:val="28"/>
          <w:szCs w:val="28"/>
        </w:rPr>
        <w:t>, indicating a potential off-season before holiday shopping picks up.</w:t>
      </w:r>
    </w:p>
    <w:tbl>
      <w:tblPr>
        <w:tblStyle w:val="TableGrid"/>
        <w:tblpPr w:leftFromText="180" w:rightFromText="180" w:vertAnchor="page" w:horzAnchor="margin" w:tblpY="9553"/>
        <w:tblW w:w="9144" w:type="dxa"/>
        <w:tblLook w:val="04A0" w:firstRow="1" w:lastRow="0" w:firstColumn="1" w:lastColumn="0" w:noHBand="0" w:noVBand="1"/>
      </w:tblPr>
      <w:tblGrid>
        <w:gridCol w:w="4572"/>
        <w:gridCol w:w="4572"/>
      </w:tblGrid>
      <w:tr w:rsidR="00F75D01" w14:paraId="5C59F037" w14:textId="77777777" w:rsidTr="00F75D01">
        <w:trPr>
          <w:trHeight w:val="530"/>
        </w:trPr>
        <w:tc>
          <w:tcPr>
            <w:tcW w:w="4572" w:type="dxa"/>
          </w:tcPr>
          <w:p w14:paraId="722F2740" w14:textId="619CF338" w:rsidR="00F75D01" w:rsidRPr="008A1814" w:rsidRDefault="008A1814" w:rsidP="008A1814">
            <w:pPr>
              <w:jc w:val="center"/>
              <w:rPr>
                <w:sz w:val="28"/>
                <w:szCs w:val="28"/>
              </w:rPr>
            </w:pPr>
            <w:r w:rsidRPr="008A1814">
              <w:rPr>
                <w:sz w:val="28"/>
                <w:szCs w:val="28"/>
              </w:rPr>
              <w:t>Total Sales</w:t>
            </w:r>
          </w:p>
        </w:tc>
        <w:tc>
          <w:tcPr>
            <w:tcW w:w="4572" w:type="dxa"/>
          </w:tcPr>
          <w:p w14:paraId="1601C11B" w14:textId="7A0C0941" w:rsidR="00F75D01" w:rsidRPr="008A1814" w:rsidRDefault="008A1814" w:rsidP="008A1814">
            <w:pPr>
              <w:jc w:val="center"/>
              <w:rPr>
                <w:sz w:val="28"/>
                <w:szCs w:val="28"/>
              </w:rPr>
            </w:pPr>
            <w:r w:rsidRPr="008A1814">
              <w:rPr>
                <w:sz w:val="28"/>
                <w:szCs w:val="28"/>
              </w:rPr>
              <w:t>$899.90M</w:t>
            </w:r>
          </w:p>
        </w:tc>
      </w:tr>
      <w:tr w:rsidR="00F75D01" w14:paraId="417DE6F7" w14:textId="77777777" w:rsidTr="00F75D01">
        <w:trPr>
          <w:trHeight w:val="547"/>
        </w:trPr>
        <w:tc>
          <w:tcPr>
            <w:tcW w:w="4572" w:type="dxa"/>
          </w:tcPr>
          <w:p w14:paraId="397639CF" w14:textId="5D37B58D" w:rsidR="008A1814" w:rsidRPr="008A1814" w:rsidRDefault="008A1814" w:rsidP="008A1814">
            <w:pPr>
              <w:jc w:val="center"/>
              <w:rPr>
                <w:sz w:val="28"/>
                <w:szCs w:val="28"/>
              </w:rPr>
            </w:pPr>
            <w:r w:rsidRPr="008A1814">
              <w:rPr>
                <w:sz w:val="28"/>
                <w:szCs w:val="28"/>
              </w:rPr>
              <w:t>Year-over-Year Growth</w:t>
            </w:r>
          </w:p>
          <w:p w14:paraId="01614BCB" w14:textId="3D3CCB59" w:rsidR="00F75D01" w:rsidRPr="008A1814" w:rsidRDefault="00F75D01" w:rsidP="008A1814">
            <w:pPr>
              <w:jc w:val="center"/>
              <w:rPr>
                <w:sz w:val="28"/>
                <w:szCs w:val="28"/>
              </w:rPr>
            </w:pPr>
          </w:p>
        </w:tc>
        <w:tc>
          <w:tcPr>
            <w:tcW w:w="4572" w:type="dxa"/>
          </w:tcPr>
          <w:p w14:paraId="48D1B5D7" w14:textId="6B81A93E" w:rsidR="00F75D01" w:rsidRPr="008A1814" w:rsidRDefault="008A1814" w:rsidP="008A1814">
            <w:pPr>
              <w:jc w:val="center"/>
              <w:rPr>
                <w:sz w:val="28"/>
                <w:szCs w:val="28"/>
              </w:rPr>
            </w:pPr>
            <w:r w:rsidRPr="008A1814">
              <w:rPr>
                <w:sz w:val="28"/>
                <w:szCs w:val="28"/>
              </w:rPr>
              <w:t>294.23%</w:t>
            </w:r>
          </w:p>
          <w:p w14:paraId="0CA56E1C" w14:textId="06725709" w:rsidR="008A1814" w:rsidRPr="008A1814" w:rsidRDefault="008A1814" w:rsidP="008A1814">
            <w:pPr>
              <w:jc w:val="center"/>
              <w:rPr>
                <w:sz w:val="28"/>
                <w:szCs w:val="28"/>
              </w:rPr>
            </w:pPr>
          </w:p>
        </w:tc>
      </w:tr>
      <w:tr w:rsidR="00F75D01" w14:paraId="544B729C" w14:textId="77777777" w:rsidTr="00F75D01">
        <w:trPr>
          <w:trHeight w:val="530"/>
        </w:trPr>
        <w:tc>
          <w:tcPr>
            <w:tcW w:w="4572" w:type="dxa"/>
          </w:tcPr>
          <w:p w14:paraId="449423DB" w14:textId="6051E91A" w:rsidR="008A1814" w:rsidRPr="008A1814" w:rsidRDefault="008A1814" w:rsidP="008A1814">
            <w:pPr>
              <w:jc w:val="center"/>
              <w:rPr>
                <w:sz w:val="28"/>
                <w:szCs w:val="28"/>
              </w:rPr>
            </w:pPr>
            <w:r w:rsidRPr="008A1814">
              <w:rPr>
                <w:sz w:val="28"/>
                <w:szCs w:val="28"/>
              </w:rPr>
              <w:t>Average Order Value</w:t>
            </w:r>
          </w:p>
          <w:p w14:paraId="161258F4" w14:textId="77777777" w:rsidR="00F75D01" w:rsidRPr="008A1814" w:rsidRDefault="00F75D01" w:rsidP="008A1814">
            <w:pPr>
              <w:jc w:val="center"/>
              <w:rPr>
                <w:sz w:val="28"/>
                <w:szCs w:val="28"/>
              </w:rPr>
            </w:pPr>
          </w:p>
        </w:tc>
        <w:tc>
          <w:tcPr>
            <w:tcW w:w="4572" w:type="dxa"/>
          </w:tcPr>
          <w:p w14:paraId="58EB41E2" w14:textId="6DEDF75E" w:rsidR="00F75D01" w:rsidRPr="008A1814" w:rsidRDefault="008A1814" w:rsidP="008A1814">
            <w:pPr>
              <w:jc w:val="center"/>
              <w:rPr>
                <w:sz w:val="28"/>
                <w:szCs w:val="28"/>
              </w:rPr>
            </w:pPr>
            <w:r w:rsidRPr="008A1814">
              <w:rPr>
                <w:sz w:val="28"/>
                <w:szCs w:val="28"/>
              </w:rPr>
              <w:t>$363.03</w:t>
            </w:r>
          </w:p>
        </w:tc>
      </w:tr>
      <w:tr w:rsidR="00F75D01" w14:paraId="3EB13CAE" w14:textId="77777777" w:rsidTr="00F75D01">
        <w:trPr>
          <w:trHeight w:val="530"/>
        </w:trPr>
        <w:tc>
          <w:tcPr>
            <w:tcW w:w="4572" w:type="dxa"/>
          </w:tcPr>
          <w:p w14:paraId="6D78C002" w14:textId="41686722" w:rsidR="00F75D01" w:rsidRPr="008A1814" w:rsidRDefault="008A1814" w:rsidP="008A1814">
            <w:pPr>
              <w:jc w:val="center"/>
              <w:rPr>
                <w:sz w:val="28"/>
                <w:szCs w:val="28"/>
              </w:rPr>
            </w:pPr>
            <w:r w:rsidRPr="008A1814">
              <w:rPr>
                <w:sz w:val="28"/>
                <w:szCs w:val="28"/>
              </w:rPr>
              <w:t>Operating Margin</w:t>
            </w:r>
          </w:p>
        </w:tc>
        <w:tc>
          <w:tcPr>
            <w:tcW w:w="4572" w:type="dxa"/>
          </w:tcPr>
          <w:p w14:paraId="08E4AEEA" w14:textId="77777777" w:rsidR="008A1814" w:rsidRPr="008A1814" w:rsidRDefault="008A1814" w:rsidP="008A1814">
            <w:pPr>
              <w:jc w:val="center"/>
              <w:rPr>
                <w:sz w:val="28"/>
                <w:szCs w:val="28"/>
              </w:rPr>
            </w:pPr>
            <w:r w:rsidRPr="008A1814">
              <w:rPr>
                <w:sz w:val="28"/>
                <w:szCs w:val="28"/>
              </w:rPr>
              <w:t>36.91%</w:t>
            </w:r>
          </w:p>
          <w:p w14:paraId="4C6AF7CC" w14:textId="77777777" w:rsidR="00F75D01" w:rsidRPr="008A1814" w:rsidRDefault="00F75D01" w:rsidP="008A1814">
            <w:pPr>
              <w:jc w:val="center"/>
              <w:rPr>
                <w:sz w:val="28"/>
                <w:szCs w:val="28"/>
              </w:rPr>
            </w:pPr>
          </w:p>
        </w:tc>
      </w:tr>
      <w:tr w:rsidR="00F75D01" w14:paraId="30CCB126" w14:textId="77777777" w:rsidTr="00F75D01">
        <w:trPr>
          <w:trHeight w:val="547"/>
        </w:trPr>
        <w:tc>
          <w:tcPr>
            <w:tcW w:w="4572" w:type="dxa"/>
          </w:tcPr>
          <w:p w14:paraId="3071A472" w14:textId="5D495147" w:rsidR="00F75D01" w:rsidRPr="008A1814" w:rsidRDefault="008A1814" w:rsidP="008A1814">
            <w:pPr>
              <w:jc w:val="center"/>
              <w:rPr>
                <w:sz w:val="28"/>
                <w:szCs w:val="28"/>
              </w:rPr>
            </w:pPr>
            <w:r w:rsidRPr="008A1814">
              <w:rPr>
                <w:sz w:val="28"/>
                <w:szCs w:val="28"/>
              </w:rPr>
              <w:t>Total Units Sold</w:t>
            </w:r>
          </w:p>
        </w:tc>
        <w:tc>
          <w:tcPr>
            <w:tcW w:w="4572" w:type="dxa"/>
          </w:tcPr>
          <w:p w14:paraId="14B0E201" w14:textId="77777777" w:rsidR="008A1814" w:rsidRPr="008A1814" w:rsidRDefault="008A1814" w:rsidP="008A1814">
            <w:pPr>
              <w:jc w:val="center"/>
              <w:rPr>
                <w:sz w:val="28"/>
                <w:szCs w:val="28"/>
              </w:rPr>
            </w:pPr>
            <w:r w:rsidRPr="008A1814">
              <w:rPr>
                <w:sz w:val="28"/>
                <w:szCs w:val="28"/>
              </w:rPr>
              <w:t>2,478,861</w:t>
            </w:r>
          </w:p>
          <w:p w14:paraId="12BE7CF6" w14:textId="77777777" w:rsidR="00F75D01" w:rsidRPr="008A1814" w:rsidRDefault="00F75D01" w:rsidP="008A1814">
            <w:pPr>
              <w:jc w:val="center"/>
              <w:rPr>
                <w:sz w:val="28"/>
                <w:szCs w:val="28"/>
              </w:rPr>
            </w:pPr>
          </w:p>
        </w:tc>
      </w:tr>
      <w:tr w:rsidR="00F75D01" w14:paraId="0885F2C6" w14:textId="77777777" w:rsidTr="00F75D01">
        <w:trPr>
          <w:trHeight w:val="530"/>
        </w:trPr>
        <w:tc>
          <w:tcPr>
            <w:tcW w:w="4572" w:type="dxa"/>
          </w:tcPr>
          <w:p w14:paraId="37B4D918" w14:textId="60BFE709" w:rsidR="00F75D01" w:rsidRPr="008A1814" w:rsidRDefault="008A1814" w:rsidP="008A1814">
            <w:pPr>
              <w:jc w:val="center"/>
              <w:rPr>
                <w:sz w:val="28"/>
                <w:szCs w:val="28"/>
              </w:rPr>
            </w:pPr>
            <w:r w:rsidRPr="008A1814">
              <w:rPr>
                <w:sz w:val="28"/>
                <w:szCs w:val="28"/>
              </w:rPr>
              <w:t>Max Units Sold in a Category</w:t>
            </w:r>
          </w:p>
        </w:tc>
        <w:tc>
          <w:tcPr>
            <w:tcW w:w="4572" w:type="dxa"/>
          </w:tcPr>
          <w:p w14:paraId="2FF942D7" w14:textId="21094A8B" w:rsidR="00F75D01" w:rsidRPr="008A1814" w:rsidRDefault="008A1814" w:rsidP="008A1814">
            <w:pPr>
              <w:jc w:val="center"/>
              <w:rPr>
                <w:sz w:val="28"/>
                <w:szCs w:val="28"/>
              </w:rPr>
            </w:pPr>
            <w:r w:rsidRPr="008A1814">
              <w:rPr>
                <w:sz w:val="28"/>
                <w:szCs w:val="28"/>
              </w:rPr>
              <w:t>1,275(Men’s Street Footwear)</w:t>
            </w:r>
          </w:p>
        </w:tc>
      </w:tr>
    </w:tbl>
    <w:p w14:paraId="2EAFE7D8" w14:textId="77777777" w:rsidR="00F75D01" w:rsidRPr="00F75D01" w:rsidRDefault="00F75D01" w:rsidP="00F75D01">
      <w:pPr>
        <w:ind w:left="360"/>
        <w:rPr>
          <w:sz w:val="28"/>
          <w:szCs w:val="28"/>
        </w:rPr>
      </w:pPr>
    </w:p>
    <w:tbl>
      <w:tblPr>
        <w:tblStyle w:val="TableGrid"/>
        <w:tblpPr w:leftFromText="180" w:rightFromText="180" w:vertAnchor="page" w:horzAnchor="margin" w:tblpY="8929"/>
        <w:tblW w:w="9228" w:type="dxa"/>
        <w:tblLook w:val="04A0" w:firstRow="1" w:lastRow="0" w:firstColumn="1" w:lastColumn="0" w:noHBand="0" w:noVBand="1"/>
      </w:tblPr>
      <w:tblGrid>
        <w:gridCol w:w="4614"/>
        <w:gridCol w:w="4614"/>
      </w:tblGrid>
      <w:tr w:rsidR="00F75D01" w14:paraId="41EC2C6D" w14:textId="77777777" w:rsidTr="008A1814">
        <w:trPr>
          <w:trHeight w:val="311"/>
        </w:trPr>
        <w:tc>
          <w:tcPr>
            <w:tcW w:w="4614" w:type="dxa"/>
          </w:tcPr>
          <w:p w14:paraId="23884FBE" w14:textId="77777777" w:rsidR="00F75D01" w:rsidRPr="008A1814" w:rsidRDefault="00F75D01" w:rsidP="00F75D01">
            <w:pPr>
              <w:jc w:val="center"/>
              <w:rPr>
                <w:b/>
                <w:bCs/>
                <w:sz w:val="24"/>
                <w:szCs w:val="24"/>
              </w:rPr>
            </w:pPr>
            <w:r w:rsidRPr="008A1814">
              <w:rPr>
                <w:rStyle w:val="Strong"/>
                <w:sz w:val="24"/>
                <w:szCs w:val="24"/>
              </w:rPr>
              <w:t>Metric</w:t>
            </w:r>
          </w:p>
          <w:p w14:paraId="3F67E651" w14:textId="77777777" w:rsidR="00F75D01" w:rsidRDefault="00F75D01" w:rsidP="00F75D01">
            <w:pPr>
              <w:rPr>
                <w:b/>
                <w:bCs/>
                <w:sz w:val="28"/>
                <w:szCs w:val="28"/>
                <w:u w:val="single"/>
              </w:rPr>
            </w:pPr>
          </w:p>
        </w:tc>
        <w:tc>
          <w:tcPr>
            <w:tcW w:w="4614" w:type="dxa"/>
          </w:tcPr>
          <w:p w14:paraId="0FFB9768" w14:textId="57EBF125" w:rsidR="00F75D01" w:rsidRPr="008A1814" w:rsidRDefault="008A1814" w:rsidP="008A1814">
            <w:pPr>
              <w:jc w:val="center"/>
              <w:rPr>
                <w:b/>
                <w:bCs/>
                <w:sz w:val="28"/>
                <w:szCs w:val="28"/>
              </w:rPr>
            </w:pPr>
            <w:r w:rsidRPr="008A1814">
              <w:rPr>
                <w:b/>
                <w:bCs/>
                <w:sz w:val="24"/>
                <w:szCs w:val="24"/>
              </w:rPr>
              <w:t>Value</w:t>
            </w:r>
          </w:p>
        </w:tc>
      </w:tr>
    </w:tbl>
    <w:p w14:paraId="54C6EBB0" w14:textId="333CC6ED" w:rsidR="00F75D01" w:rsidRDefault="00F75D01">
      <w:pPr>
        <w:rPr>
          <w:b/>
          <w:bCs/>
          <w:sz w:val="28"/>
          <w:szCs w:val="28"/>
          <w:u w:val="single"/>
        </w:rPr>
      </w:pPr>
      <w:r w:rsidRPr="00F75D01">
        <w:rPr>
          <w:b/>
          <w:bCs/>
          <w:sz w:val="28"/>
          <w:szCs w:val="28"/>
          <w:u w:val="single"/>
        </w:rPr>
        <w:t xml:space="preserve">3. Performance Metrics &amp; </w:t>
      </w:r>
      <w:r w:rsidRPr="00F75D01">
        <w:rPr>
          <w:b/>
          <w:bCs/>
          <w:sz w:val="28"/>
          <w:szCs w:val="28"/>
          <w:u w:val="single"/>
        </w:rPr>
        <w:t>KPIs</w:t>
      </w:r>
      <w:r>
        <w:rPr>
          <w:b/>
          <w:bCs/>
          <w:sz w:val="28"/>
          <w:szCs w:val="28"/>
          <w:u w:val="single"/>
        </w:rPr>
        <w:t>: -</w:t>
      </w:r>
    </w:p>
    <w:p w14:paraId="7D0E6100" w14:textId="77777777" w:rsidR="00F75D01" w:rsidRDefault="00F75D01">
      <w:pPr>
        <w:rPr>
          <w:b/>
          <w:bCs/>
          <w:sz w:val="28"/>
          <w:szCs w:val="28"/>
          <w:u w:val="single"/>
        </w:rPr>
      </w:pPr>
    </w:p>
    <w:p w14:paraId="3B8E43A5" w14:textId="77777777" w:rsidR="008A1814" w:rsidRDefault="008A1814">
      <w:pPr>
        <w:rPr>
          <w:b/>
          <w:bCs/>
          <w:sz w:val="28"/>
          <w:szCs w:val="28"/>
          <w:u w:val="single"/>
        </w:rPr>
      </w:pPr>
    </w:p>
    <w:p w14:paraId="4F9F50ED" w14:textId="77777777" w:rsidR="008A1814" w:rsidRDefault="008A1814">
      <w:pPr>
        <w:rPr>
          <w:b/>
          <w:bCs/>
          <w:sz w:val="28"/>
          <w:szCs w:val="28"/>
          <w:u w:val="single"/>
        </w:rPr>
      </w:pPr>
    </w:p>
    <w:p w14:paraId="664BFEB9" w14:textId="77777777" w:rsidR="008A1814" w:rsidRDefault="008A1814">
      <w:pPr>
        <w:rPr>
          <w:b/>
          <w:bCs/>
          <w:sz w:val="28"/>
          <w:szCs w:val="28"/>
          <w:u w:val="single"/>
        </w:rPr>
      </w:pPr>
    </w:p>
    <w:p w14:paraId="2AE2C301" w14:textId="77777777" w:rsidR="008A1814" w:rsidRPr="008A1814" w:rsidRDefault="008A1814" w:rsidP="008A1814">
      <w:pPr>
        <w:rPr>
          <w:sz w:val="28"/>
          <w:szCs w:val="28"/>
        </w:rPr>
      </w:pPr>
      <w:r w:rsidRPr="008A1814">
        <w:rPr>
          <w:sz w:val="28"/>
          <w:szCs w:val="28"/>
        </w:rPr>
        <w:lastRenderedPageBreak/>
        <w:t>4. Recommendations &amp; Action Plan</w:t>
      </w:r>
    </w:p>
    <w:p w14:paraId="585FD16F" w14:textId="1D19293A" w:rsidR="008A1814" w:rsidRPr="008A1814" w:rsidRDefault="008A1814" w:rsidP="008A1814">
      <w:pPr>
        <w:rPr>
          <w:sz w:val="28"/>
          <w:szCs w:val="28"/>
        </w:rPr>
      </w:pPr>
      <w:r w:rsidRPr="008A1814">
        <w:rPr>
          <w:sz w:val="28"/>
          <w:szCs w:val="28"/>
        </w:rPr>
        <w:t>1️</w:t>
      </w:r>
      <w:r>
        <w:rPr>
          <w:rFonts w:ascii="Segoe UI Symbol" w:hAnsi="Segoe UI Symbol" w:cs="Segoe UI Symbol"/>
          <w:sz w:val="28"/>
          <w:szCs w:val="28"/>
        </w:rPr>
        <w:t xml:space="preserve"> </w:t>
      </w:r>
      <w:r w:rsidRPr="008A1814">
        <w:rPr>
          <w:sz w:val="28"/>
          <w:szCs w:val="28"/>
        </w:rPr>
        <w:t>Enhance Digital Sales Strategy</w:t>
      </w:r>
    </w:p>
    <w:p w14:paraId="6EF26185" w14:textId="77777777" w:rsidR="008A1814" w:rsidRPr="008A1814" w:rsidRDefault="008A1814" w:rsidP="008A1814">
      <w:pPr>
        <w:numPr>
          <w:ilvl w:val="0"/>
          <w:numId w:val="6"/>
        </w:numPr>
        <w:rPr>
          <w:sz w:val="28"/>
          <w:szCs w:val="28"/>
        </w:rPr>
      </w:pPr>
      <w:r w:rsidRPr="008A1814">
        <w:rPr>
          <w:sz w:val="28"/>
          <w:szCs w:val="28"/>
        </w:rPr>
        <w:t>Online sales are strong but still lower than in-store. Investing in better digital marketing, influencer partnerships, and SEO optimization can further boost e-commerce sales.</w:t>
      </w:r>
    </w:p>
    <w:p w14:paraId="63940F1E" w14:textId="6F5CE354" w:rsidR="008A1814" w:rsidRPr="008A1814" w:rsidRDefault="008A1814" w:rsidP="008A1814">
      <w:pPr>
        <w:rPr>
          <w:sz w:val="28"/>
          <w:szCs w:val="28"/>
        </w:rPr>
      </w:pPr>
      <w:r w:rsidRPr="008A1814">
        <w:rPr>
          <w:sz w:val="28"/>
          <w:szCs w:val="28"/>
        </w:rPr>
        <w:t>2️</w:t>
      </w:r>
      <w:r>
        <w:rPr>
          <w:rFonts w:ascii="Segoe UI Symbol" w:hAnsi="Segoe UI Symbol" w:cs="Segoe UI Symbol"/>
          <w:sz w:val="28"/>
          <w:szCs w:val="28"/>
        </w:rPr>
        <w:t xml:space="preserve"> </w:t>
      </w:r>
      <w:r w:rsidRPr="008A1814">
        <w:rPr>
          <w:sz w:val="28"/>
          <w:szCs w:val="28"/>
        </w:rPr>
        <w:t>Expand in the Midwest Region</w:t>
      </w:r>
    </w:p>
    <w:p w14:paraId="4214F001" w14:textId="77777777" w:rsidR="008A1814" w:rsidRPr="008A1814" w:rsidRDefault="008A1814" w:rsidP="008A1814">
      <w:pPr>
        <w:numPr>
          <w:ilvl w:val="0"/>
          <w:numId w:val="7"/>
        </w:numPr>
        <w:rPr>
          <w:sz w:val="28"/>
          <w:szCs w:val="28"/>
        </w:rPr>
      </w:pPr>
      <w:r w:rsidRPr="008A1814">
        <w:rPr>
          <w:sz w:val="28"/>
          <w:szCs w:val="28"/>
        </w:rPr>
        <w:t>The Midwest had the lowest sales ($135.80M), suggesting an opportunity to improve market penetration via promotions and partnerships.</w:t>
      </w:r>
    </w:p>
    <w:p w14:paraId="384824BD" w14:textId="5FE18CA1" w:rsidR="008A1814" w:rsidRPr="008A1814" w:rsidRDefault="008A1814" w:rsidP="008A1814">
      <w:pPr>
        <w:rPr>
          <w:sz w:val="28"/>
          <w:szCs w:val="28"/>
        </w:rPr>
      </w:pPr>
      <w:r w:rsidRPr="008A1814">
        <w:rPr>
          <w:sz w:val="28"/>
          <w:szCs w:val="28"/>
        </w:rPr>
        <w:t>3️</w:t>
      </w:r>
      <w:r>
        <w:rPr>
          <w:rFonts w:ascii="Segoe UI Symbol" w:hAnsi="Segoe UI Symbol" w:cs="Segoe UI Symbol"/>
          <w:sz w:val="28"/>
          <w:szCs w:val="28"/>
        </w:rPr>
        <w:t xml:space="preserve"> </w:t>
      </w:r>
      <w:r w:rsidRPr="008A1814">
        <w:rPr>
          <w:sz w:val="28"/>
          <w:szCs w:val="28"/>
        </w:rPr>
        <w:t>Improve Product Positioning for Women’s Footwear</w:t>
      </w:r>
    </w:p>
    <w:p w14:paraId="42B64059" w14:textId="77777777" w:rsidR="008A1814" w:rsidRPr="008A1814" w:rsidRDefault="008A1814" w:rsidP="008A1814">
      <w:pPr>
        <w:numPr>
          <w:ilvl w:val="0"/>
          <w:numId w:val="8"/>
        </w:numPr>
        <w:rPr>
          <w:sz w:val="28"/>
          <w:szCs w:val="28"/>
        </w:rPr>
      </w:pPr>
      <w:r w:rsidRPr="008A1814">
        <w:rPr>
          <w:sz w:val="28"/>
          <w:szCs w:val="28"/>
        </w:rPr>
        <w:t>Women's Street Footwear had the lowest revenue ($128.00M). Targeted advertising and influencer marketing campaigns could boost this category.</w:t>
      </w:r>
    </w:p>
    <w:p w14:paraId="64CF806E" w14:textId="5A32D5B5" w:rsidR="008A1814" w:rsidRPr="008A1814" w:rsidRDefault="008A1814" w:rsidP="008A1814">
      <w:pPr>
        <w:rPr>
          <w:sz w:val="28"/>
          <w:szCs w:val="28"/>
        </w:rPr>
      </w:pPr>
      <w:r w:rsidRPr="008A1814">
        <w:rPr>
          <w:sz w:val="28"/>
          <w:szCs w:val="28"/>
        </w:rPr>
        <w:t>4️</w:t>
      </w:r>
      <w:r>
        <w:rPr>
          <w:rFonts w:ascii="Segoe UI Symbol" w:hAnsi="Segoe UI Symbol" w:cs="Segoe UI Symbol"/>
          <w:sz w:val="28"/>
          <w:szCs w:val="28"/>
        </w:rPr>
        <w:t xml:space="preserve"> </w:t>
      </w:r>
      <w:r w:rsidRPr="008A1814">
        <w:rPr>
          <w:sz w:val="28"/>
          <w:szCs w:val="28"/>
        </w:rPr>
        <w:t>Leverage High-Sales Months</w:t>
      </w:r>
    </w:p>
    <w:p w14:paraId="077EDD99" w14:textId="77777777" w:rsidR="008A1814" w:rsidRPr="008A1814" w:rsidRDefault="008A1814" w:rsidP="008A1814">
      <w:pPr>
        <w:numPr>
          <w:ilvl w:val="0"/>
          <w:numId w:val="9"/>
        </w:numPr>
        <w:rPr>
          <w:sz w:val="28"/>
          <w:szCs w:val="28"/>
        </w:rPr>
      </w:pPr>
      <w:r w:rsidRPr="008A1814">
        <w:rPr>
          <w:sz w:val="28"/>
          <w:szCs w:val="28"/>
        </w:rPr>
        <w:t>Adidas should maximize promotions and product launches in July and August to take advantage of peak sales months.</w:t>
      </w:r>
    </w:p>
    <w:p w14:paraId="2907DDB2" w14:textId="468AB9A1" w:rsidR="008A1814" w:rsidRPr="008A1814" w:rsidRDefault="008A1814" w:rsidP="008A1814">
      <w:pPr>
        <w:rPr>
          <w:sz w:val="28"/>
          <w:szCs w:val="28"/>
        </w:rPr>
      </w:pPr>
      <w:r w:rsidRPr="008A1814">
        <w:rPr>
          <w:sz w:val="28"/>
          <w:szCs w:val="28"/>
        </w:rPr>
        <w:t>5️</w:t>
      </w:r>
      <w:r>
        <w:rPr>
          <w:rFonts w:ascii="Segoe UI Symbol" w:hAnsi="Segoe UI Symbol" w:cs="Segoe UI Symbol"/>
          <w:sz w:val="28"/>
          <w:szCs w:val="28"/>
        </w:rPr>
        <w:t xml:space="preserve"> </w:t>
      </w:r>
      <w:r w:rsidRPr="008A1814">
        <w:rPr>
          <w:sz w:val="28"/>
          <w:szCs w:val="28"/>
        </w:rPr>
        <w:t>Optimize Inventory Management</w:t>
      </w:r>
    </w:p>
    <w:p w14:paraId="2DD0C876" w14:textId="77777777" w:rsidR="008A1814" w:rsidRPr="008A1814" w:rsidRDefault="008A1814" w:rsidP="008A1814">
      <w:pPr>
        <w:numPr>
          <w:ilvl w:val="0"/>
          <w:numId w:val="10"/>
        </w:numPr>
        <w:rPr>
          <w:sz w:val="28"/>
          <w:szCs w:val="28"/>
        </w:rPr>
      </w:pPr>
      <w:r w:rsidRPr="008A1814">
        <w:rPr>
          <w:sz w:val="28"/>
          <w:szCs w:val="28"/>
        </w:rPr>
        <w:t>Since Men's Street Footwear had the highest units sold, Adidas should ensure adequate stock levels in high-demand regions.</w:t>
      </w:r>
    </w:p>
    <w:p w14:paraId="3DA725B1" w14:textId="77777777" w:rsidR="008A1814" w:rsidRPr="008A1814" w:rsidRDefault="008A1814" w:rsidP="008A1814">
      <w:pPr>
        <w:rPr>
          <w:sz w:val="28"/>
          <w:szCs w:val="28"/>
        </w:rPr>
      </w:pPr>
      <w:r w:rsidRPr="008A1814">
        <w:rPr>
          <w:sz w:val="28"/>
          <w:szCs w:val="28"/>
        </w:rPr>
        <w:pict w14:anchorId="43298511">
          <v:rect id="_x0000_i1031" style="width:0;height:1.5pt" o:hralign="center" o:hrstd="t" o:hr="t" fillcolor="#a0a0a0" stroked="f"/>
        </w:pict>
      </w:r>
    </w:p>
    <w:p w14:paraId="505DD470" w14:textId="77777777" w:rsidR="008A1814" w:rsidRPr="008A1814" w:rsidRDefault="008A1814" w:rsidP="008A1814">
      <w:pPr>
        <w:rPr>
          <w:sz w:val="28"/>
          <w:szCs w:val="28"/>
        </w:rPr>
      </w:pPr>
      <w:r w:rsidRPr="008A1814">
        <w:rPr>
          <w:sz w:val="28"/>
          <w:szCs w:val="28"/>
        </w:rPr>
        <w:t>5. Conclusion</w:t>
      </w:r>
    </w:p>
    <w:p w14:paraId="3AAB9E0F" w14:textId="77777777" w:rsidR="008A1814" w:rsidRPr="008A1814" w:rsidRDefault="008A1814" w:rsidP="008A1814">
      <w:pPr>
        <w:rPr>
          <w:sz w:val="28"/>
          <w:szCs w:val="28"/>
        </w:rPr>
      </w:pPr>
      <w:r w:rsidRPr="008A1814">
        <w:rPr>
          <w:sz w:val="28"/>
          <w:szCs w:val="28"/>
        </w:rPr>
        <w:t>This analysis provides valuable insights into Adidas’ sales trends, customer preferences, and potential areas for growth. By implementing the recommendations, Adidas can further optimize its revenue, enhance customer engagement, and strengthen its market presence.</w:t>
      </w:r>
    </w:p>
    <w:p w14:paraId="6E528192" w14:textId="77777777" w:rsidR="008A1814" w:rsidRPr="008A1814" w:rsidRDefault="008A1814">
      <w:pPr>
        <w:rPr>
          <w:sz w:val="28"/>
          <w:szCs w:val="28"/>
        </w:rPr>
      </w:pPr>
    </w:p>
    <w:sectPr w:rsidR="008A1814" w:rsidRPr="008A1814" w:rsidSect="00F75D01">
      <w:headerReference w:type="first" r:id="rId7"/>
      <w:pgSz w:w="11906" w:h="16838"/>
      <w:pgMar w:top="1440" w:right="1440" w:bottom="1440" w:left="1440" w:header="51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CBBC4" w14:textId="77777777" w:rsidR="008579C8" w:rsidRDefault="008579C8" w:rsidP="00F75D01">
      <w:pPr>
        <w:spacing w:after="0" w:line="240" w:lineRule="auto"/>
      </w:pPr>
      <w:r>
        <w:separator/>
      </w:r>
    </w:p>
  </w:endnote>
  <w:endnote w:type="continuationSeparator" w:id="0">
    <w:p w14:paraId="770C6651" w14:textId="77777777" w:rsidR="008579C8" w:rsidRDefault="008579C8" w:rsidP="00F75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3392C" w14:textId="77777777" w:rsidR="008579C8" w:rsidRDefault="008579C8" w:rsidP="00F75D01">
      <w:pPr>
        <w:spacing w:after="0" w:line="240" w:lineRule="auto"/>
      </w:pPr>
      <w:r>
        <w:separator/>
      </w:r>
    </w:p>
  </w:footnote>
  <w:footnote w:type="continuationSeparator" w:id="0">
    <w:p w14:paraId="3E5F4EE1" w14:textId="77777777" w:rsidR="008579C8" w:rsidRDefault="008579C8" w:rsidP="00F75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62B6E" w14:textId="5EA86F38" w:rsidR="00F75D01" w:rsidRDefault="00F75D01" w:rsidP="00F75D01">
    <w:pPr>
      <w:pStyle w:val="Header"/>
      <w:jc w:val="center"/>
      <w:rPr>
        <w:sz w:val="32"/>
        <w:szCs w:val="32"/>
      </w:rPr>
    </w:pPr>
    <w:r w:rsidRPr="00F75D01">
      <w:rPr>
        <w:sz w:val="32"/>
        <w:szCs w:val="32"/>
      </w:rPr>
      <w:t>Adidas Sales Performance Analysis</w:t>
    </w:r>
  </w:p>
  <w:p w14:paraId="15EC8CDA" w14:textId="029D89CB" w:rsidR="00F75D01" w:rsidRPr="00F75D01" w:rsidRDefault="00F75D01" w:rsidP="00F75D01">
    <w:pPr>
      <w:pStyle w:val="Header"/>
      <w:rPr>
        <w:sz w:val="20"/>
        <w:szCs w:val="20"/>
      </w:rPr>
    </w:pPr>
    <w:r>
      <w:rPr>
        <w:sz w:val="20"/>
        <w:szCs w:val="20"/>
      </w:rPr>
      <w:t>Name: -</w:t>
    </w:r>
    <w:r>
      <w:rPr>
        <w:sz w:val="20"/>
        <w:szCs w:val="20"/>
      </w:rPr>
      <w:t xml:space="preserve"> Anurag Sharma</w:t>
    </w:r>
    <w:r>
      <w:rPr>
        <w:sz w:val="32"/>
        <w:szCs w:val="32"/>
      </w:rPr>
      <w:tab/>
      <w:t xml:space="preserve">                                                                     </w:t>
    </w:r>
    <w:r w:rsidRPr="00F75D01">
      <w:t>Date: - 21</w:t>
    </w:r>
    <w:r w:rsidRPr="00F75D01">
      <w:rPr>
        <w:vertAlign w:val="superscript"/>
      </w:rPr>
      <w:t>st</w:t>
    </w:r>
    <w:r w:rsidRPr="00F75D01">
      <w:t xml:space="preserve"> march 2025</w:t>
    </w:r>
    <w:r>
      <w:rPr>
        <w:sz w:val="32"/>
        <w:szCs w:val="3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260C"/>
    <w:multiLevelType w:val="multilevel"/>
    <w:tmpl w:val="C160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02969"/>
    <w:multiLevelType w:val="multilevel"/>
    <w:tmpl w:val="CFEE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05806"/>
    <w:multiLevelType w:val="multilevel"/>
    <w:tmpl w:val="719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A6625"/>
    <w:multiLevelType w:val="multilevel"/>
    <w:tmpl w:val="D14C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13EC7"/>
    <w:multiLevelType w:val="multilevel"/>
    <w:tmpl w:val="54E0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D3FDF"/>
    <w:multiLevelType w:val="multilevel"/>
    <w:tmpl w:val="FAAC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D03AC"/>
    <w:multiLevelType w:val="multilevel"/>
    <w:tmpl w:val="189C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C386E"/>
    <w:multiLevelType w:val="multilevel"/>
    <w:tmpl w:val="2BD2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97987"/>
    <w:multiLevelType w:val="multilevel"/>
    <w:tmpl w:val="0978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858DA"/>
    <w:multiLevelType w:val="multilevel"/>
    <w:tmpl w:val="CF70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171204">
    <w:abstractNumId w:val="9"/>
  </w:num>
  <w:num w:numId="2" w16cid:durableId="1903984109">
    <w:abstractNumId w:val="4"/>
  </w:num>
  <w:num w:numId="3" w16cid:durableId="801117933">
    <w:abstractNumId w:val="3"/>
  </w:num>
  <w:num w:numId="4" w16cid:durableId="1693415888">
    <w:abstractNumId w:val="2"/>
  </w:num>
  <w:num w:numId="5" w16cid:durableId="398864086">
    <w:abstractNumId w:val="0"/>
  </w:num>
  <w:num w:numId="6" w16cid:durableId="408963929">
    <w:abstractNumId w:val="6"/>
  </w:num>
  <w:num w:numId="7" w16cid:durableId="1510750015">
    <w:abstractNumId w:val="5"/>
  </w:num>
  <w:num w:numId="8" w16cid:durableId="513737139">
    <w:abstractNumId w:val="1"/>
  </w:num>
  <w:num w:numId="9" w16cid:durableId="1045982297">
    <w:abstractNumId w:val="8"/>
  </w:num>
  <w:num w:numId="10" w16cid:durableId="1009482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01"/>
    <w:rsid w:val="00827BD7"/>
    <w:rsid w:val="008579C8"/>
    <w:rsid w:val="008A1814"/>
    <w:rsid w:val="00A81E6D"/>
    <w:rsid w:val="00AE1317"/>
    <w:rsid w:val="00BB330F"/>
    <w:rsid w:val="00E6069E"/>
    <w:rsid w:val="00F75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227A8"/>
  <w15:chartTrackingRefBased/>
  <w15:docId w15:val="{04C11509-82DC-4D76-AC6B-C47C85A2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D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D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D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D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D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D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D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D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D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D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D01"/>
    <w:rPr>
      <w:rFonts w:eastAsiaTheme="majorEastAsia" w:cstheme="majorBidi"/>
      <w:color w:val="272727" w:themeColor="text1" w:themeTint="D8"/>
    </w:rPr>
  </w:style>
  <w:style w:type="paragraph" w:styleId="Title">
    <w:name w:val="Title"/>
    <w:basedOn w:val="Normal"/>
    <w:next w:val="Normal"/>
    <w:link w:val="TitleChar"/>
    <w:uiPriority w:val="10"/>
    <w:qFormat/>
    <w:rsid w:val="00F75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D01"/>
    <w:pPr>
      <w:spacing w:before="160"/>
      <w:jc w:val="center"/>
    </w:pPr>
    <w:rPr>
      <w:i/>
      <w:iCs/>
      <w:color w:val="404040" w:themeColor="text1" w:themeTint="BF"/>
    </w:rPr>
  </w:style>
  <w:style w:type="character" w:customStyle="1" w:styleId="QuoteChar">
    <w:name w:val="Quote Char"/>
    <w:basedOn w:val="DefaultParagraphFont"/>
    <w:link w:val="Quote"/>
    <w:uiPriority w:val="29"/>
    <w:rsid w:val="00F75D01"/>
    <w:rPr>
      <w:i/>
      <w:iCs/>
      <w:color w:val="404040" w:themeColor="text1" w:themeTint="BF"/>
    </w:rPr>
  </w:style>
  <w:style w:type="paragraph" w:styleId="ListParagraph">
    <w:name w:val="List Paragraph"/>
    <w:basedOn w:val="Normal"/>
    <w:uiPriority w:val="34"/>
    <w:qFormat/>
    <w:rsid w:val="00F75D01"/>
    <w:pPr>
      <w:ind w:left="720"/>
      <w:contextualSpacing/>
    </w:pPr>
  </w:style>
  <w:style w:type="character" w:styleId="IntenseEmphasis">
    <w:name w:val="Intense Emphasis"/>
    <w:basedOn w:val="DefaultParagraphFont"/>
    <w:uiPriority w:val="21"/>
    <w:qFormat/>
    <w:rsid w:val="00F75D01"/>
    <w:rPr>
      <w:i/>
      <w:iCs/>
      <w:color w:val="2F5496" w:themeColor="accent1" w:themeShade="BF"/>
    </w:rPr>
  </w:style>
  <w:style w:type="paragraph" w:styleId="IntenseQuote">
    <w:name w:val="Intense Quote"/>
    <w:basedOn w:val="Normal"/>
    <w:next w:val="Normal"/>
    <w:link w:val="IntenseQuoteChar"/>
    <w:uiPriority w:val="30"/>
    <w:qFormat/>
    <w:rsid w:val="00F75D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D01"/>
    <w:rPr>
      <w:i/>
      <w:iCs/>
      <w:color w:val="2F5496" w:themeColor="accent1" w:themeShade="BF"/>
    </w:rPr>
  </w:style>
  <w:style w:type="character" w:styleId="IntenseReference">
    <w:name w:val="Intense Reference"/>
    <w:basedOn w:val="DefaultParagraphFont"/>
    <w:uiPriority w:val="32"/>
    <w:qFormat/>
    <w:rsid w:val="00F75D01"/>
    <w:rPr>
      <w:b/>
      <w:bCs/>
      <w:smallCaps/>
      <w:color w:val="2F5496" w:themeColor="accent1" w:themeShade="BF"/>
      <w:spacing w:val="5"/>
    </w:rPr>
  </w:style>
  <w:style w:type="paragraph" w:styleId="Header">
    <w:name w:val="header"/>
    <w:basedOn w:val="Normal"/>
    <w:link w:val="HeaderChar"/>
    <w:uiPriority w:val="99"/>
    <w:unhideWhenUsed/>
    <w:rsid w:val="00F75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D01"/>
  </w:style>
  <w:style w:type="paragraph" w:styleId="Footer">
    <w:name w:val="footer"/>
    <w:basedOn w:val="Normal"/>
    <w:link w:val="FooterChar"/>
    <w:uiPriority w:val="99"/>
    <w:unhideWhenUsed/>
    <w:rsid w:val="00F75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D01"/>
  </w:style>
  <w:style w:type="character" w:styleId="Strong">
    <w:name w:val="Strong"/>
    <w:basedOn w:val="DefaultParagraphFont"/>
    <w:uiPriority w:val="22"/>
    <w:qFormat/>
    <w:rsid w:val="00F75D01"/>
    <w:rPr>
      <w:b/>
      <w:bCs/>
    </w:rPr>
  </w:style>
  <w:style w:type="table" w:styleId="TableGrid">
    <w:name w:val="Table Grid"/>
    <w:basedOn w:val="TableNormal"/>
    <w:uiPriority w:val="39"/>
    <w:rsid w:val="00F75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639">
      <w:bodyDiv w:val="1"/>
      <w:marLeft w:val="0"/>
      <w:marRight w:val="0"/>
      <w:marTop w:val="0"/>
      <w:marBottom w:val="0"/>
      <w:divBdr>
        <w:top w:val="none" w:sz="0" w:space="0" w:color="auto"/>
        <w:left w:val="none" w:sz="0" w:space="0" w:color="auto"/>
        <w:bottom w:val="none" w:sz="0" w:space="0" w:color="auto"/>
        <w:right w:val="none" w:sz="0" w:space="0" w:color="auto"/>
      </w:divBdr>
    </w:div>
    <w:div w:id="239097241">
      <w:bodyDiv w:val="1"/>
      <w:marLeft w:val="0"/>
      <w:marRight w:val="0"/>
      <w:marTop w:val="0"/>
      <w:marBottom w:val="0"/>
      <w:divBdr>
        <w:top w:val="none" w:sz="0" w:space="0" w:color="auto"/>
        <w:left w:val="none" w:sz="0" w:space="0" w:color="auto"/>
        <w:bottom w:val="none" w:sz="0" w:space="0" w:color="auto"/>
        <w:right w:val="none" w:sz="0" w:space="0" w:color="auto"/>
      </w:divBdr>
    </w:div>
    <w:div w:id="246697076">
      <w:bodyDiv w:val="1"/>
      <w:marLeft w:val="0"/>
      <w:marRight w:val="0"/>
      <w:marTop w:val="0"/>
      <w:marBottom w:val="0"/>
      <w:divBdr>
        <w:top w:val="none" w:sz="0" w:space="0" w:color="auto"/>
        <w:left w:val="none" w:sz="0" w:space="0" w:color="auto"/>
        <w:bottom w:val="none" w:sz="0" w:space="0" w:color="auto"/>
        <w:right w:val="none" w:sz="0" w:space="0" w:color="auto"/>
      </w:divBdr>
    </w:div>
    <w:div w:id="252781151">
      <w:bodyDiv w:val="1"/>
      <w:marLeft w:val="0"/>
      <w:marRight w:val="0"/>
      <w:marTop w:val="0"/>
      <w:marBottom w:val="0"/>
      <w:divBdr>
        <w:top w:val="none" w:sz="0" w:space="0" w:color="auto"/>
        <w:left w:val="none" w:sz="0" w:space="0" w:color="auto"/>
        <w:bottom w:val="none" w:sz="0" w:space="0" w:color="auto"/>
        <w:right w:val="none" w:sz="0" w:space="0" w:color="auto"/>
      </w:divBdr>
    </w:div>
    <w:div w:id="887450703">
      <w:bodyDiv w:val="1"/>
      <w:marLeft w:val="0"/>
      <w:marRight w:val="0"/>
      <w:marTop w:val="0"/>
      <w:marBottom w:val="0"/>
      <w:divBdr>
        <w:top w:val="none" w:sz="0" w:space="0" w:color="auto"/>
        <w:left w:val="none" w:sz="0" w:space="0" w:color="auto"/>
        <w:bottom w:val="none" w:sz="0" w:space="0" w:color="auto"/>
        <w:right w:val="none" w:sz="0" w:space="0" w:color="auto"/>
      </w:divBdr>
    </w:div>
    <w:div w:id="909540598">
      <w:bodyDiv w:val="1"/>
      <w:marLeft w:val="0"/>
      <w:marRight w:val="0"/>
      <w:marTop w:val="0"/>
      <w:marBottom w:val="0"/>
      <w:divBdr>
        <w:top w:val="none" w:sz="0" w:space="0" w:color="auto"/>
        <w:left w:val="none" w:sz="0" w:space="0" w:color="auto"/>
        <w:bottom w:val="none" w:sz="0" w:space="0" w:color="auto"/>
        <w:right w:val="none" w:sz="0" w:space="0" w:color="auto"/>
      </w:divBdr>
    </w:div>
    <w:div w:id="1015032398">
      <w:bodyDiv w:val="1"/>
      <w:marLeft w:val="0"/>
      <w:marRight w:val="0"/>
      <w:marTop w:val="0"/>
      <w:marBottom w:val="0"/>
      <w:divBdr>
        <w:top w:val="none" w:sz="0" w:space="0" w:color="auto"/>
        <w:left w:val="none" w:sz="0" w:space="0" w:color="auto"/>
        <w:bottom w:val="none" w:sz="0" w:space="0" w:color="auto"/>
        <w:right w:val="none" w:sz="0" w:space="0" w:color="auto"/>
      </w:divBdr>
    </w:div>
    <w:div w:id="1083339175">
      <w:bodyDiv w:val="1"/>
      <w:marLeft w:val="0"/>
      <w:marRight w:val="0"/>
      <w:marTop w:val="0"/>
      <w:marBottom w:val="0"/>
      <w:divBdr>
        <w:top w:val="none" w:sz="0" w:space="0" w:color="auto"/>
        <w:left w:val="none" w:sz="0" w:space="0" w:color="auto"/>
        <w:bottom w:val="none" w:sz="0" w:space="0" w:color="auto"/>
        <w:right w:val="none" w:sz="0" w:space="0" w:color="auto"/>
      </w:divBdr>
    </w:div>
    <w:div w:id="1275097490">
      <w:bodyDiv w:val="1"/>
      <w:marLeft w:val="0"/>
      <w:marRight w:val="0"/>
      <w:marTop w:val="0"/>
      <w:marBottom w:val="0"/>
      <w:divBdr>
        <w:top w:val="none" w:sz="0" w:space="0" w:color="auto"/>
        <w:left w:val="none" w:sz="0" w:space="0" w:color="auto"/>
        <w:bottom w:val="none" w:sz="0" w:space="0" w:color="auto"/>
        <w:right w:val="none" w:sz="0" w:space="0" w:color="auto"/>
      </w:divBdr>
    </w:div>
    <w:div w:id="1628701568">
      <w:bodyDiv w:val="1"/>
      <w:marLeft w:val="0"/>
      <w:marRight w:val="0"/>
      <w:marTop w:val="0"/>
      <w:marBottom w:val="0"/>
      <w:divBdr>
        <w:top w:val="none" w:sz="0" w:space="0" w:color="auto"/>
        <w:left w:val="none" w:sz="0" w:space="0" w:color="auto"/>
        <w:bottom w:val="none" w:sz="0" w:space="0" w:color="auto"/>
        <w:right w:val="none" w:sz="0" w:space="0" w:color="auto"/>
      </w:divBdr>
    </w:div>
    <w:div w:id="1723675238">
      <w:bodyDiv w:val="1"/>
      <w:marLeft w:val="0"/>
      <w:marRight w:val="0"/>
      <w:marTop w:val="0"/>
      <w:marBottom w:val="0"/>
      <w:divBdr>
        <w:top w:val="none" w:sz="0" w:space="0" w:color="auto"/>
        <w:left w:val="none" w:sz="0" w:space="0" w:color="auto"/>
        <w:bottom w:val="none" w:sz="0" w:space="0" w:color="auto"/>
        <w:right w:val="none" w:sz="0" w:space="0" w:color="auto"/>
      </w:divBdr>
    </w:div>
    <w:div w:id="181622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Sharma</dc:creator>
  <cp:keywords/>
  <dc:description/>
  <cp:lastModifiedBy>Anurag Sharma</cp:lastModifiedBy>
  <cp:revision>1</cp:revision>
  <dcterms:created xsi:type="dcterms:W3CDTF">2025-03-21T02:11:00Z</dcterms:created>
  <dcterms:modified xsi:type="dcterms:W3CDTF">2025-03-21T02:25:00Z</dcterms:modified>
</cp:coreProperties>
</file>