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Super Store Sales Dashboard – Business Insights</w:t>
      </w:r>
    </w:p>
    <w:p>
      <w:pPr>
        <w:pStyle w:val="ListNumber"/>
      </w:pPr>
      <w:r>
        <w:t>1. Profit Consistency Across Years:</w:t>
        <w:br/>
        <w:t>Total profit remained consistent at ₹52.73K in both 2022 and 2023. This indicates stable operational margins despite changes in sales volume.</w:t>
      </w:r>
    </w:p>
    <w:p>
      <w:pPr>
        <w:pStyle w:val="ListNumber"/>
      </w:pPr>
      <w:r>
        <w:t>2. Highest Revenue from Corporate Segment:</w:t>
        <w:br/>
        <w:t>The Corporate segment contributed the most to revenue in 2023 (₹91.3K, 31.32%). This segment may benefit from focused marketing efforts.</w:t>
      </w:r>
    </w:p>
    <w:p>
      <w:pPr>
        <w:pStyle w:val="ListNumber"/>
      </w:pPr>
      <w:r>
        <w:t>3. Standard Class is the Most Preferred Shipping Mode:</w:t>
        <w:br/>
        <w:t>Standard Class shipping accounted for 26.06% of all sales, the highest among all modes. This suggests customer preference and optimization opportunities.</w:t>
      </w:r>
    </w:p>
    <w:p>
      <w:pPr>
        <w:pStyle w:val="ListNumber"/>
      </w:pPr>
      <w:r>
        <w:t>4. Sales Are Strongest in California and Texas:</w:t>
        <w:br/>
        <w:t>States like California and Texas consistently lead in sales. These markets may benefit from further promotions or expansions.</w:t>
      </w:r>
    </w:p>
    <w:p>
      <w:pPr>
        <w:pStyle w:val="ListNumber"/>
      </w:pPr>
      <w:r>
        <w:t>5. Strong Growth in Q2 2022:</w:t>
        <w:br/>
        <w:t>Q2 of 2022 showed the highest sales spike, exceeding 35K. This trend may be due to seasonal demand or promotions.</w:t>
      </w:r>
    </w:p>
    <w:p>
      <w:pPr>
        <w:pStyle w:val="ListNumber"/>
      </w:pPr>
      <w:r>
        <w:t>6. Discount-Heavy Segments Not Always Profitable:</w:t>
        <w:br/>
        <w:t>Higher discounts do not always result in higher profits. Some products with large discounts showed lower profitability.</w:t>
      </w:r>
    </w:p>
    <w:p>
      <w:pPr>
        <w:pStyle w:val="ListNumber"/>
      </w:pPr>
      <w:r>
        <w:t>7. Office Supplies Have Lower Sales:</w:t>
        <w:br/>
        <w:t>Compared to Furniture and Technology, Office Supplies contribute the least to total sales. This may require product strategy reassessment.</w:t>
      </w:r>
    </w:p>
    <w:p>
      <w:pPr>
        <w:pStyle w:val="ListNumber"/>
      </w:pPr>
      <w:r>
        <w:t>8. Home Office Segment Has Lower Revenue:</w:t>
        <w:br/>
        <w:t>Home Office accounts for 24.73% of revenue, the lowest among segments. Indicates a growth opportunity or need for repositioning.</w:t>
      </w:r>
    </w:p>
    <w:p>
      <w:pPr>
        <w:pStyle w:val="ListNumber"/>
      </w:pPr>
      <w:r>
        <w:t>9. January and November Show Sales Spikes:</w:t>
        <w:br/>
        <w:t>Monthly trends reveal peaks in January and November, likely due to holiday and new year sales events.</w:t>
      </w:r>
    </w:p>
    <w:p>
      <w:pPr>
        <w:pStyle w:val="ListNumber"/>
      </w:pPr>
      <w:r>
        <w:t>10. South Region Lags in Sales:</w:t>
        <w:br/>
        <w:t>The South region contributes the least in state-wise sales compared to other regions. Localized promotions could help boost performance.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