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00" w:after="200"/>
        <w:jc w:val="center"/>
        <w:rPr/>
      </w:pPr>
      <w:r>
        <w:rPr>
          <w:b/>
          <w:bCs/>
          <w:color w:val="1F4E79"/>
          <w:sz w:val="56"/>
          <w:szCs w:val="56"/>
        </w:rPr>
        <w:t>NETWORK SECURITY</w:t>
      </w:r>
    </w:p>
    <w:p>
      <w:pPr>
        <w:pStyle w:val="Normal"/>
        <w:spacing w:before="0" w:after="200"/>
        <w:jc w:val="center"/>
        <w:rPr/>
      </w:pPr>
      <w:r>
        <w:rPr>
          <w:color w:val="2E75B6"/>
          <w:sz w:val="40"/>
          <w:szCs w:val="40"/>
        </w:rPr>
        <w:t>Case Study Report</w:t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Normal"/>
        <w:spacing w:before="200" w:after="100"/>
        <w:jc w:val="center"/>
        <w:rPr/>
      </w:pPr>
      <w:r>
        <w:rPr>
          <w:b/>
          <w:bCs/>
          <w:color w:val="404040"/>
          <w:sz w:val="28"/>
          <w:szCs w:val="28"/>
        </w:rPr>
        <w:t>Section 1: Firewall &amp; Network Architecture</w:t>
      </w:r>
    </w:p>
    <w:p>
      <w:pPr>
        <w:pStyle w:val="Normal"/>
        <w:spacing w:before="0" w:after="100"/>
        <w:jc w:val="center"/>
        <w:rPr/>
      </w:pPr>
      <w:r>
        <w:rPr>
          <w:b/>
          <w:bCs/>
          <w:color w:val="404040"/>
          <w:sz w:val="28"/>
          <w:szCs w:val="28"/>
        </w:rPr>
        <w:t>Section 2: Protocol Analysis &amp; HTTP Security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600" w:after="100"/>
        <w:jc w:val="center"/>
        <w:rPr/>
      </w:pPr>
      <w:r>
        <w:rPr>
          <w:i/>
          <w:iCs/>
          <w:color w:val="808080"/>
        </w:rPr>
        <w:t>Prepared for Academic Submission</w:t>
      </w:r>
    </w:p>
    <w:p>
      <w:pPr>
        <w:pStyle w:val="Normal"/>
        <w:spacing w:before="0" w:after="100"/>
        <w:jc w:val="center"/>
        <w:rPr/>
      </w:pPr>
      <w:r>
        <w:rPr>
          <w:color w:val="808080"/>
        </w:rPr>
        <w:t>April 23, 2026</w:t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spacing w:before="200" w:after="160"/>
        <w:rPr/>
      </w:pPr>
      <w:r>
        <w:rPr>
          <w:b/>
          <w:bCs/>
          <w:color w:val="FFFFFF"/>
          <w:sz w:val="20"/>
          <w:szCs w:val="20"/>
        </w:rPr>
        <w:t>SECTION 1</w:t>
      </w:r>
    </w:p>
    <w:p>
      <w:pPr>
        <w:pStyle w:val="Normal"/>
        <w:shd w:val="clear" w:color="auto" w:fill="1F4E79"/>
        <w:rPr/>
      </w:pPr>
      <w:r>
        <w:rPr>
          <w:b/>
          <w:bCs/>
          <w:color w:val="FFFFFF"/>
          <w:sz w:val="32"/>
          <w:szCs w:val="32"/>
        </w:rPr>
        <w:t xml:space="preserve">  </w:t>
      </w:r>
      <w:r>
        <w:rPr>
          <w:b/>
          <w:bCs/>
          <w:color w:val="FFFFFF"/>
          <w:sz w:val="32"/>
          <w:szCs w:val="32"/>
        </w:rPr>
        <w:t>SECTION 1: FIREWALL &amp; NETWORK ARCHITECTURE</w:t>
      </w:r>
    </w:p>
    <w:p>
      <w:pPr>
        <w:pStyle w:val="Normal"/>
        <w:shd w:val="clear" w:color="auto" w:fill="2E75B6"/>
        <w:spacing w:before="0" w:after="300"/>
        <w:rPr/>
      </w:pPr>
      <w:r>
        <w:rPr>
          <w:i/>
          <w:iCs/>
          <w:color w:val="FFFFFF"/>
        </w:rPr>
        <w:t xml:space="preserve">  </w:t>
      </w:r>
      <w:r>
        <w:rPr>
          <w:i/>
          <w:iCs/>
          <w:color w:val="FFFFFF"/>
        </w:rPr>
        <w:t>Case Study: Data Breach Despite Active Firewall</w:t>
      </w:r>
    </w:p>
    <w:p>
      <w:pPr>
        <w:pStyle w:val="Heading2"/>
        <w:rPr/>
      </w:pPr>
      <w:r>
        <w:rPr/>
        <w:t>1.1 Background — How Did the Breach Happen?</w:t>
      </w:r>
    </w:p>
    <w:p>
      <w:pPr>
        <w:pStyle w:val="Normal"/>
        <w:spacing w:before="80" w:after="100"/>
        <w:rPr/>
      </w:pPr>
      <w:r>
        <w:rPr/>
        <w:t>A mid-sized e-commerce company suffered a significant data breach that exposed thousands of customer records, payment data, and internal credentials. The breach occurred despite the company having a commercially licensed firewall in place. Post-incident forensic analysis revealed several critical misconfigurations and architectural gaps that allowed attackers to penetrate the network undetected.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100"/>
        <w:rPr/>
      </w:pPr>
      <w:r>
        <w:rPr/>
        <w:t>Key facts established during the post-mortem investigation: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/>
        <w:t>The firewall was a traditional packet-filtering device configured with static ACL rules.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No deep-packet inspection (DPI) was enabled on the perimeter gateway.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Internal east-west traffic between servers was entirely unmonitored.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Attackers used a legitimate HTTPS session to smuggle malicious payloads (HTTP smuggling).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Dwell time before detection: 47 days — a dangerously long window of undetected access.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rPr/>
      </w:pPr>
      <w:r>
        <w:rPr/>
        <w:t>1.2 Packet Filtering Firewalls — Why They Failed</w:t>
      </w:r>
    </w:p>
    <w:p>
      <w:pPr>
        <w:pStyle w:val="Normal"/>
        <w:spacing w:before="80" w:after="100"/>
        <w:rPr/>
      </w:pPr>
      <w:r>
        <w:rPr/>
        <w:t>Packet filtering operates at Layer 3 (Network) and Layer 4 (Transport) of the OSI model. It inspects individual packets based on static rules — source IP, destination IP, protocol, and port number — but has no awareness of application-layer content or session context.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VBand="1" w:noHBand="0" w:lastColumn="0" w:firstColumn="1" w:lastRow="0" w:firstRow="1"/>
      </w:tblPr>
      <w:tblGrid>
        <w:gridCol w:w="3199"/>
        <w:gridCol w:w="3100"/>
        <w:gridCol w:w="3061"/>
      </w:tblGrid>
      <w:tr>
        <w:trPr>
          <w:tblHeader w:val="true"/>
        </w:trPr>
        <w:tc>
          <w:tcPr>
            <w:tcW w:w="3199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Capability</w:t>
            </w:r>
          </w:p>
        </w:tc>
        <w:tc>
          <w:tcPr>
            <w:tcW w:w="31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Packet Filter Behavior</w:t>
            </w:r>
          </w:p>
        </w:tc>
        <w:tc>
          <w:tcPr>
            <w:tcW w:w="306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Attack Vector Exploited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State awareness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Stateless — each packet judged independently</w:t>
            </w:r>
          </w:p>
        </w:tc>
        <w:tc>
          <w:tcPr>
            <w:tcW w:w="3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Attackers injected forged TCP packets mid-session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Application visibility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None — cannot read HTTP/HTTPS payload</w:t>
            </w:r>
          </w:p>
        </w:tc>
        <w:tc>
          <w:tcPr>
            <w:tcW w:w="3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Malicious commands hidden inside valid HTTPS traffic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Fragmentation handling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Poor — fragments processed separately</w:t>
            </w:r>
          </w:p>
        </w:tc>
        <w:tc>
          <w:tcPr>
            <w:tcW w:w="3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Payload split across fragments to bypass rules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Spoofing resistance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Low — relies only on header values</w:t>
            </w:r>
          </w:p>
        </w:tc>
        <w:tc>
          <w:tcPr>
            <w:tcW w:w="3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IP spoofing used to pass source-IP whitelisting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Logging depth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Minimal — port/IP only</w:t>
            </w:r>
          </w:p>
        </w:tc>
        <w:tc>
          <w:tcPr>
            <w:tcW w:w="3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 audit trail of actual data accessed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rPr/>
      </w:pPr>
      <w:r>
        <w:rPr/>
        <w:t>1.3 Stateful Firewalls — Capabilities and Limitations</w:t>
      </w:r>
    </w:p>
    <w:p>
      <w:pPr>
        <w:pStyle w:val="Normal"/>
        <w:spacing w:before="80" w:after="100"/>
        <w:rPr/>
      </w:pPr>
      <w:r>
        <w:rPr/>
        <w:t>Stateful inspection (also called dynamic packet filtering) tracks the state of active connections using a state table. It understands TCP handshakes, connection lifecycle events, and can reject packets that do not belong to an established session.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rPr/>
      </w:pPr>
      <w:r>
        <w:rPr/>
        <w:t>Where Stateful Firewalls Help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Prevent TCP SYN flood attacks by monitoring incomplete handshake queues.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Reject forged RST or ACK packets that do not match a tracked session.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Identify and drop retransmitted segments with inconsistent sequence numbers.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Block port scanning disguised as legitimate packets.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rPr/>
      </w:pPr>
      <w:r>
        <w:rPr/>
        <w:t>Where Stateful Firewalls Still Fall Short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Cannot inspect encrypted payloads (SSL/TLS traffic) without termination.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Do not analyse application-layer semantics — a valid TCP session carrying SQL injection passes through unchallenged.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Vulnerable to state-table exhaustion (DoS via connection flood).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No awareness of user identity — only IP addresses are tracked.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Cannot detect lateral movement once an attacker is inside the trusted zone.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100"/>
        <w:rPr/>
      </w:pPr>
      <w:r>
        <w:rPr/>
        <w:t>In the case study, the company's stateful firewall correctly tracked HTTPS sessions but could not inspect the encrypted payload. The attacker used a valid TLS session established from a trusted partner IP, effectively blinding the firewall to the malicious activity within.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rPr/>
      </w:pPr>
      <w:r>
        <w:rPr/>
        <w:t>1.4 Recommended Architecture — NGFW + Application Firewall</w:t>
      </w:r>
    </w:p>
    <w:p>
      <w:pPr>
        <w:pStyle w:val="Normal"/>
        <w:spacing w:before="80" w:after="100"/>
        <w:rPr/>
      </w:pPr>
      <w:r>
        <w:rPr/>
        <w:t>A modern defence-in-depth architecture must combine multiple firewall technologies across different OSI layers. The following recommendations are based on the breach analysis.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rPr/>
      </w:pPr>
      <w:r>
        <w:rPr/>
        <w:t>Next-Generation Firewall (NGFW)</w:t>
      </w:r>
    </w:p>
    <w:p>
      <w:pPr>
        <w:pStyle w:val="Normal"/>
        <w:spacing w:before="80" w:after="100"/>
        <w:rPr/>
      </w:pPr>
      <w:r>
        <w:rPr/>
        <w:t>A Next-Generation Firewall operates at Layers 3-7 and incorporates deep packet inspection, application identification (App-ID), user identity awareness, and integrated intrusion prevention (IPS). Leading enterprise solutions include: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VBand="1" w:noHBand="0" w:lastColumn="0" w:firstColumn="1" w:lastRow="0" w:firstRow="1"/>
      </w:tblPr>
      <w:tblGrid>
        <w:gridCol w:w="2599"/>
        <w:gridCol w:w="2200"/>
        <w:gridCol w:w="4561"/>
      </w:tblGrid>
      <w:tr>
        <w:trPr>
          <w:tblHeader w:val="true"/>
        </w:trPr>
        <w:tc>
          <w:tcPr>
            <w:tcW w:w="2599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2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Vendor</w:t>
            </w:r>
          </w:p>
        </w:tc>
        <w:tc>
          <w:tcPr>
            <w:tcW w:w="456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Key Differentiator</w:t>
            </w:r>
          </w:p>
        </w:tc>
      </w:tr>
      <w:tr>
        <w:trPr/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Palo Alto PA-Series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Palo Alto Networks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App-ID engine identifies 4,000+ applications regardless of port/protocol</w:t>
            </w:r>
          </w:p>
        </w:tc>
      </w:tr>
      <w:tr>
        <w:trPr/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Cisco Firepower 4100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Cisco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TALOS threat intelligence integration + Snort IPS engine</w:t>
            </w:r>
          </w:p>
        </w:tc>
      </w:tr>
      <w:tr>
        <w:trPr/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Fortinet FortiGate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Fortinet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SPU hardware acceleration for high-throughput DPI at wire speed</w:t>
            </w:r>
          </w:p>
        </w:tc>
      </w:tr>
      <w:tr>
        <w:trPr/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Check Point Quantum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Check Point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Unified management with SandBlast zero-day threat emulation</w:t>
            </w:r>
          </w:p>
        </w:tc>
      </w:tr>
      <w:tr>
        <w:trPr/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Sophos XGS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Sophos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Synchronized Security links endpoint and network threat data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rPr/>
      </w:pPr>
      <w:r>
        <w:rPr/>
        <w:t>Web Application Firewall (WAF)</w:t>
      </w:r>
    </w:p>
    <w:p>
      <w:pPr>
        <w:pStyle w:val="Normal"/>
        <w:spacing w:before="80" w:after="100"/>
        <w:rPr/>
      </w:pPr>
      <w:r>
        <w:rPr/>
        <w:t>A WAF specifically protects HTTP/HTTPS applications by inspecting request and response payloads for OWASP Top 10 attack patterns, including SQL injection, cross-site scripting (XSS), and HTTP request smuggling. Recommended solutions: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VBand="1" w:noHBand="0" w:lastColumn="0" w:firstColumn="1" w:lastRow="0" w:firstRow="1"/>
      </w:tblPr>
      <w:tblGrid>
        <w:gridCol w:w="2599"/>
        <w:gridCol w:w="2600"/>
        <w:gridCol w:w="4161"/>
      </w:tblGrid>
      <w:tr>
        <w:trPr>
          <w:tblHeader w:val="true"/>
        </w:trPr>
        <w:tc>
          <w:tcPr>
            <w:tcW w:w="2599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2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Deployment Mode</w:t>
            </w:r>
          </w:p>
        </w:tc>
        <w:tc>
          <w:tcPr>
            <w:tcW w:w="416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Best For</w:t>
            </w:r>
          </w:p>
        </w:tc>
      </w:tr>
      <w:tr>
        <w:trPr/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AWS WAF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Cloud-native</w:t>
            </w:r>
          </w:p>
        </w:tc>
        <w:tc>
          <w:tcPr>
            <w:tcW w:w="4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AWS-hosted applications with serverless rule sets</w:t>
            </w:r>
          </w:p>
        </w:tc>
      </w:tr>
      <w:tr>
        <w:trPr/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Cloudflare WAF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Reverse proxy / CDN</w:t>
            </w:r>
          </w:p>
        </w:tc>
        <w:tc>
          <w:tcPr>
            <w:tcW w:w="4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DDoS mitigation + bot management + WAF in one</w:t>
            </w:r>
          </w:p>
        </w:tc>
      </w:tr>
      <w:tr>
        <w:trPr/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F5 BIG-IP ASM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On-premise / hybrid</w:t>
            </w:r>
          </w:p>
        </w:tc>
        <w:tc>
          <w:tcPr>
            <w:tcW w:w="4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Complex enterprise apps needing granular policy control</w:t>
            </w:r>
          </w:p>
        </w:tc>
      </w:tr>
      <w:tr>
        <w:trPr/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ModSecurity (OWASP CRS)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Open-source / embedded</w:t>
            </w:r>
          </w:p>
        </w:tc>
        <w:tc>
          <w:tcPr>
            <w:tcW w:w="4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Cost-effective WAF for Apache/Nginx web servers</w:t>
            </w:r>
          </w:p>
        </w:tc>
      </w:tr>
      <w:tr>
        <w:trPr/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Imperva Cloud WAF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Cloud / SaaS</w:t>
            </w:r>
          </w:p>
        </w:tc>
        <w:tc>
          <w:tcPr>
            <w:tcW w:w="4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Advanced bot protection and API security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rPr/>
      </w:pPr>
      <w:r>
        <w:rPr/>
        <w:t>Recommended Layered Architecture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VBand="1" w:noHBand="0" w:lastColumn="0" w:firstColumn="1" w:lastRow="0" w:firstRow="1"/>
      </w:tblPr>
      <w:tblGrid>
        <w:gridCol w:w="1799"/>
        <w:gridCol w:w="3200"/>
        <w:gridCol w:w="4361"/>
      </w:tblGrid>
      <w:tr>
        <w:trPr>
          <w:tblHeader w:val="true"/>
        </w:trPr>
        <w:tc>
          <w:tcPr>
            <w:tcW w:w="1799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36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Function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Perimeter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NGFW (Palo Alto / Fortinet)</w:t>
            </w:r>
          </w:p>
        </w:tc>
        <w:tc>
          <w:tcPr>
            <w:tcW w:w="4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Block known threats, App-ID, IPS, TLS inspection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DMZ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WAF (Cloudflare / F5)</w:t>
            </w:r>
          </w:p>
        </w:tc>
        <w:tc>
          <w:tcPr>
            <w:tcW w:w="4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Protect web applications from OWASP attacks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Micro-segmentation (Zero Trust)</w:t>
            </w:r>
          </w:p>
        </w:tc>
        <w:tc>
          <w:tcPr>
            <w:tcW w:w="4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Limit lateral movement, east-west traffic control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EDR (CrowdStrike / SentinelOne)</w:t>
            </w:r>
          </w:p>
        </w:tc>
        <w:tc>
          <w:tcPr>
            <w:tcW w:w="4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Detect malware, ransomware at host level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SIEM (Splunk / Microsoft Sentinel)</w:t>
            </w:r>
          </w:p>
        </w:tc>
        <w:tc>
          <w:tcPr>
            <w:tcW w:w="4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Correlate events, enable rapid incident response</w:t>
            </w:r>
          </w:p>
        </w:tc>
      </w:tr>
    </w:tbl>
    <w:p>
      <w:pPr>
        <w:pStyle w:val="Normal"/>
        <w:spacing w:before="100" w:after="10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7B2D8B"/>
        <w:rPr/>
      </w:pPr>
      <w:r>
        <w:rPr>
          <w:b/>
          <w:bCs/>
          <w:color w:val="FFFFFF"/>
          <w:sz w:val="32"/>
          <w:szCs w:val="32"/>
        </w:rPr>
        <w:t xml:space="preserve">  </w:t>
      </w:r>
      <w:r>
        <w:rPr>
          <w:b/>
          <w:bCs/>
          <w:color w:val="FFFFFF"/>
          <w:sz w:val="32"/>
          <w:szCs w:val="32"/>
        </w:rPr>
        <w:t>SECTION 2: PROTOCOL ANALYSIS &amp; HTTP SECURITY</w:t>
      </w:r>
    </w:p>
    <w:p>
      <w:pPr>
        <w:pStyle w:val="Normal"/>
        <w:shd w:val="clear" w:color="auto" w:fill="9B59B6"/>
        <w:spacing w:before="0" w:after="300"/>
        <w:rPr/>
      </w:pPr>
      <w:r>
        <w:rPr>
          <w:i/>
          <w:iCs/>
          <w:color w:val="FFFFFF"/>
        </w:rPr>
        <w:t xml:space="preserve">  </w:t>
      </w:r>
      <w:r>
        <w:rPr>
          <w:i/>
          <w:iCs/>
          <w:color w:val="FFFFFF"/>
        </w:rPr>
        <w:t>Case Study: HTTP Header Manipulation &amp; HSTS Absence</w:t>
      </w:r>
    </w:p>
    <w:p>
      <w:pPr>
        <w:pStyle w:val="Heading2"/>
        <w:rPr/>
      </w:pPr>
      <w:r>
        <w:rPr/>
        <w:t>2.1 Attack Overview — What Happened?</w:t>
      </w:r>
    </w:p>
    <w:p>
      <w:pPr>
        <w:pStyle w:val="Normal"/>
        <w:spacing w:before="80" w:after="100"/>
        <w:rPr/>
      </w:pPr>
      <w:r>
        <w:rPr/>
        <w:t>A financial services web application was compromised through a combination of HTTP header manipulation and the absence of HTTP Strict Transport Security (HSTS). The attacker executed a classic SSL stripping attack combined with response header injection, ultimately capturing authenticated session tokens for over 2,000 users over a 3-week period before detection.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100"/>
        <w:rPr/>
      </w:pPr>
      <w:r>
        <w:rPr/>
        <w:t>Attack timeline and method: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Attacker positioned on a shared network (hotel Wi-Fi at a finance conference).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Intercepted HTTP redirect responses from the application (301/302 responses to HTTPS).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SSL stripping tool (SSLstrip) replaced HTTPS links with HTTP, keeping plaintext connections alive.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Injected malicious headers into server responses to manipulate client behaviour.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Session tokens, transmitted in plaintext cookies, were captured and replayed.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The absence of HSTS meant browsers had no cached policy to enforce HTTPS.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rPr/>
      </w:pPr>
      <w:r>
        <w:rPr/>
        <w:t>2.2 Deep Dive — HTTP Header Manipulation</w:t>
      </w:r>
    </w:p>
    <w:p>
      <w:pPr>
        <w:pStyle w:val="Normal"/>
        <w:spacing w:before="80" w:after="100"/>
        <w:rPr/>
      </w:pPr>
      <w:r>
        <w:rPr/>
        <w:t>HTTP headers are metadata fields transmitted with every request and response. Attackers who can position themselves as a man-in-the-middle (MITM) or exploit server-side injection vulnerabilities can modify these headers to alter application behaviour, steal credentials, or execute cross-site attacks.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rPr/>
      </w:pPr>
      <w:r>
        <w:rPr/>
        <w:t>Headers Commonly Exploited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VBand="1" w:noHBand="0" w:lastColumn="0" w:firstColumn="1" w:lastRow="0" w:firstRow="1"/>
      </w:tblPr>
      <w:tblGrid>
        <w:gridCol w:w="1999"/>
        <w:gridCol w:w="2500"/>
        <w:gridCol w:w="4861"/>
      </w:tblGrid>
      <w:tr>
        <w:trPr>
          <w:tblHeader w:val="true"/>
        </w:trPr>
        <w:tc>
          <w:tcPr>
            <w:tcW w:w="1999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Header</w:t>
            </w:r>
          </w:p>
        </w:tc>
        <w:tc>
          <w:tcPr>
            <w:tcW w:w="2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Normal Purpose</w:t>
            </w:r>
          </w:p>
        </w:tc>
        <w:tc>
          <w:tcPr>
            <w:tcW w:w="486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How Attackers Abuse It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Host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Identify the target virtual host</w:t>
            </w:r>
          </w:p>
        </w:tc>
        <w:tc>
          <w:tcPr>
            <w:tcW w:w="4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Host header injection to route requests to attacker-controlled servers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X-Forwarded-For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Pass client IP through proxies</w:t>
            </w:r>
          </w:p>
        </w:tc>
        <w:tc>
          <w:tcPr>
            <w:tcW w:w="4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Bypass IP-based access controls by spoofing trusted IPs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Referer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Indicate origin of request</w:t>
            </w:r>
          </w:p>
        </w:tc>
        <w:tc>
          <w:tcPr>
            <w:tcW w:w="4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Leak sensitive URL parameters; CSRF token exposure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Content-Type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Describe body format</w:t>
            </w:r>
          </w:p>
        </w:tc>
        <w:tc>
          <w:tcPr>
            <w:tcW w:w="4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MIME sniffing attacks — trick browser into executing injected scripts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Transfer-Encoding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Describe body encoding</w:t>
            </w:r>
          </w:p>
        </w:tc>
        <w:tc>
          <w:tcPr>
            <w:tcW w:w="4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HTTP Request Smuggling — desync front-end and back-end parsing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Set-Cookie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Issue session cookies</w:t>
            </w:r>
          </w:p>
        </w:tc>
        <w:tc>
          <w:tcPr>
            <w:tcW w:w="4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Inject malicious cookies to override legitimate session state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Redirect to a new URL</w:t>
            </w:r>
          </w:p>
        </w:tc>
        <w:tc>
          <w:tcPr>
            <w:tcW w:w="4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Open redirect attacks — redirect users to phishing sites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rPr/>
      </w:pPr>
      <w:r>
        <w:rPr/>
        <w:t>HTTP Request Smuggling — Technical Analysis</w:t>
      </w:r>
    </w:p>
    <w:p>
      <w:pPr>
        <w:pStyle w:val="Normal"/>
        <w:spacing w:before="80" w:after="100"/>
        <w:rPr/>
      </w:pPr>
      <w:r>
        <w:rPr/>
        <w:t>HTTP Request Smuggling (HRS) exploits discrepancies between how front-end proxies and back-end servers parse the Transfer-Encoding and Content-Length headers. When both headers are present, different systems may disagree on where one request ends and another begins, allowing an attacker to 'smuggle' a partial request that is prepended to the next legitimate user's request.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100"/>
        <w:rPr/>
      </w:pPr>
      <w:r>
        <w:rPr/>
        <w:t>Example of a CL.TE attack (Content-Length used by front-end, Transfer-Encoding by back-end):</w:t>
      </w:r>
    </w:p>
    <w:p>
      <w:pPr>
        <w:pStyle w:val="Normal"/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sz w:val="20"/>
          <w:szCs w:val="20"/>
        </w:rPr>
        <w:t>POST / HTTP/1.1 Host: vulnerable-app.com Content-Length: 13 Transfer-Encoding: chunked</w:t>
      </w:r>
      <w:r>
        <w:rPr>
          <w:rFonts w:eastAsia="Courier New" w:cs="Courier New" w:ascii="Courier New" w:hAnsi="Courier New"/>
          <w:b/>
          <w:bCs/>
          <w:color w:val="CC0000"/>
          <w:sz w:val="20"/>
          <w:szCs w:val="20"/>
        </w:rPr>
        <w:t xml:space="preserve">  0  GET /admin HTTP/1.1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rPr/>
      </w:pPr>
      <w:r>
        <w:rPr/>
        <w:t>2.3 HSTS — What It Is and Why Its Absence Was Critical</w:t>
      </w:r>
    </w:p>
    <w:p>
      <w:pPr>
        <w:pStyle w:val="Normal"/>
        <w:spacing w:before="80" w:after="100"/>
        <w:rPr/>
      </w:pPr>
      <w:r>
        <w:rPr/>
        <w:t>HTTP Strict Transport Security (HSTS) is a web security policy mechanism defined in RFC 6797. When an HSTS header is served by a web application, the browser caches a policy that forces all future connections to that domain to use HTTPS — even if the user types 'http://' or clicks an HTTP link. This cached policy prevents SSL stripping attacks because the browser enforces HTTPS before any network request is made.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100"/>
        <w:rPr/>
      </w:pPr>
      <w:r>
        <w:rPr/>
        <w:t>Correct HSTS header implementation:</w:t>
      </w:r>
    </w:p>
    <w:p>
      <w:pPr>
        <w:pStyle w:val="Normal"/>
        <w:shd w:val="clear" w:color="auto" w:fill="F2F2F2"/>
        <w:spacing w:before="100" w:after="100"/>
        <w:rPr/>
      </w:pPr>
      <w:r>
        <w:rPr>
          <w:rFonts w:eastAsia="Courier New" w:cs="Courier New" w:ascii="Courier New" w:hAnsi="Courier New"/>
          <w:b/>
          <w:bCs/>
          <w:color w:val="1F4E79"/>
          <w:sz w:val="20"/>
          <w:szCs w:val="20"/>
        </w:rPr>
        <w:t>Strict-Transport-Security: max-age=31536000; includeSubDomains; preload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VBand="1" w:noHBand="0" w:lastColumn="0" w:firstColumn="1" w:lastRow="0" w:firstRow="1"/>
      </w:tblPr>
      <w:tblGrid>
        <w:gridCol w:w="2499"/>
        <w:gridCol w:w="3600"/>
        <w:gridCol w:w="3261"/>
      </w:tblGrid>
      <w:tr>
        <w:trPr>
          <w:tblHeader w:val="true"/>
        </w:trPr>
        <w:tc>
          <w:tcPr>
            <w:tcW w:w="2499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HSTS Directive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326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Recommendation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max-age=31536000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Browser caches HSTS policy for 1 year (in seconds)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Minimum 6 months; 1 year is standard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includeSubDomains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Policy applies to all subdomains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Required — without this, subdomains can be stripped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preload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Submit domain to browser preload list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Recommended for maximum protection before first visit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100"/>
        <w:rPr/>
      </w:pPr>
      <w:r>
        <w:rPr/>
        <w:t>In the case study, the application served no HSTS header whatsoever. The attacker's SSLstrip tool successfully downgraded all connections because the victims' browsers had no cached HTTPS enforcement policy.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rPr/>
      </w:pPr>
      <w:r>
        <w:rPr/>
        <w:t>2.4 Prevention Measures — Comprehensive Recommendations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rPr/>
      </w:pPr>
      <w:r>
        <w:rPr/>
        <w:t>A. Enforce HTTPS and HSTS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Deploy and configure HSTS with max-age of at least 31,536,000 (1 year), includeSubDomains, and preload.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Submit the domain to the HSTS Preload List at hstspreload.org — browsers ship with this list built in.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Configure TLS 1.2 minimum (TLS 1.3 preferred); disable SSLv3, TLS 1.0, and 1.1.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Use a strong cipher suite: prefer ECDHE for forward secrecy; disable RC4, DES, and 3DES.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rPr/>
      </w:pPr>
      <w:r>
        <w:rPr/>
        <w:t>B. Secure HTTP Response Headers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VBand="1" w:noHBand="0" w:lastColumn="0" w:firstColumn="1" w:lastRow="0" w:firstRow="1"/>
      </w:tblPr>
      <w:tblGrid>
        <w:gridCol w:w="2799"/>
        <w:gridCol w:w="3000"/>
        <w:gridCol w:w="3561"/>
      </w:tblGrid>
      <w:tr>
        <w:trPr>
          <w:tblHeader w:val="true"/>
        </w:trPr>
        <w:tc>
          <w:tcPr>
            <w:tcW w:w="2799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Security Header</w:t>
            </w:r>
          </w:p>
        </w:tc>
        <w:tc>
          <w:tcPr>
            <w:tcW w:w="3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Recommended Value</w:t>
            </w:r>
          </w:p>
        </w:tc>
        <w:tc>
          <w:tcPr>
            <w:tcW w:w="356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Protection Provided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Content-Security-Policy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default-src 'self'; script-src 'self'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Prevents XSS and data injection attacks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X-Content-Type-Options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nosniff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Prevents MIME-type sniffing attacks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X-Frame-Options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DENY or SAMEORIGIN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Prevents clickjacking via iframe embedding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X-XSS-Protection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1; mode=block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Legacy XSS filter (support modern CSP instead)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Referrer-Policy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strict-origin-when-cross-origin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Controls referrer data leakage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Permissions-Policy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geolocation=(), microphone=()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Restricts browser feature access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rPr/>
      </w:pPr>
      <w:r>
        <w:rPr/>
        <w:t>C. Prevent HTTP Request Smuggling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Ensure front-end proxy and back-end server use the same HTTP specification version (prefer HTTP/2 end-to-end).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Configure web servers to reject requests containing both Content-Length and Transfer-Encoding headers.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Use a WAF with HTTP normalisation capabilities (e.g., F5 BIG-IP ASM, Cloudflare WAF).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Enable HTTP/2 — its binary framing protocol makes request smuggling significantly harder.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Regularly run Burp Suite's HTTP Request Smuggler scanner against all endpoints.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rPr/>
      </w:pPr>
      <w:r>
        <w:rPr/>
        <w:t>D. Cookie Security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Set the Secure flag on all session cookies — prevents transmission over unencrypted HTTP.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Set the HttpOnly flag — prevents JavaScript from accessing session cookies.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Use SameSite=Strict or SameSite=Lax to prevent cross-site request forgery via cookie leakage.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Implement short session expiry and token rotation after authentication events.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rPr/>
      </w:pPr>
      <w:r>
        <w:rPr/>
        <w:t>E. Network-Level Controls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Deploy a TLS-terminating reverse proxy (e.g., Nginx, HAProxy, Cloudflare) that normalises all requests.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Implement mutual TLS (mTLS) for service-to-service communication inside the infrastructure.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Use certificate pinning for mobile applications to prevent rogue certificate acceptance.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Enable OCSP stapling for certificate revocation checking without leaking user browsing data.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rPr/>
      </w:pPr>
      <w:r>
        <w:rPr/>
        <w:t>2.5 Summary Comparison Table</w:t>
      </w:r>
    </w:p>
    <w:tbl>
      <w:tblPr>
        <w:tblW w:w="8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VBand="1" w:noHBand="0" w:lastColumn="0" w:firstColumn="1" w:lastRow="0" w:firstRow="1"/>
      </w:tblPr>
      <w:tblGrid>
        <w:gridCol w:w="1999"/>
        <w:gridCol w:w="2400"/>
        <w:gridCol w:w="2900"/>
        <w:gridCol w:w="1060"/>
      </w:tblGrid>
      <w:tr>
        <w:trPr>
          <w:tblHeader w:val="true"/>
        </w:trPr>
        <w:tc>
          <w:tcPr>
            <w:tcW w:w="1999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Vulnerability</w:t>
            </w:r>
          </w:p>
        </w:tc>
        <w:tc>
          <w:tcPr>
            <w:tcW w:w="24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Attack Technique</w:t>
            </w:r>
          </w:p>
        </w:tc>
        <w:tc>
          <w:tcPr>
            <w:tcW w:w="29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Prevention Measure</w:t>
            </w:r>
          </w:p>
        </w:tc>
        <w:tc>
          <w:tcPr>
            <w:tcW w:w="10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 HSTS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SSL Stripping (SSLstrip)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Deploy HSTS + Preload List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Missing Secure cookie flag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Cookie theft over HTTP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Secure + HttpOnly + SameSite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HTTP header injection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Response splitting, redirect abuse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WAF + Input sanitisation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Request smuggling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CL.TE / TE.CL desync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HTTP/2 end-to-end + WAF normalisation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Weak TLS configuration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BEAST, POODLE, CRIME attacks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TLS 1.3, strong cipher suites only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 CSP header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Cross-site scripting (XSS)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Strict Content-Security-Policy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Missing X-Frame-Options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Clickjacking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X-Frame-Options: DENY</w:t>
            </w:r>
          </w:p>
        </w:tc>
        <w:tc>
          <w:tcPr>
            <w:tcW w:w="1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BF3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Medium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rPr/>
      </w:pPr>
      <w:r>
        <w:rPr/>
        <w:t>Conclusion</w:t>
      </w:r>
    </w:p>
    <w:p>
      <w:pPr>
        <w:pStyle w:val="Normal"/>
        <w:spacing w:before="80" w:after="100"/>
        <w:rPr/>
      </w:pPr>
      <w:r>
        <w:rPr/>
        <w:t>Both case studies demonstrate that no single security control is sufficient in isolation. The data breach in Section 1 occurred because packet-filtering firewalls were trusted as the sole gatekeepers, while attackers exploited the absence of application-layer visibility. The HTTP attack in Section 2 succeeded because a missing HSTS header and improper response-header controls created exploitable gaps at the protocol level.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100"/>
        <w:rPr/>
      </w:pPr>
      <w:r>
        <w:rPr/>
        <w:t>Effective network security requires a layered defence strategy — combining NGFWs, WAFs, proper HTTP security headers, strong TLS configuration, and continuous monitoring — to address threats at every layer of the OSI stack. Security is not a product you buy; it is a practice you continuously maintain.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i/>
          <w:iCs/>
          <w:color w:val="808080"/>
          <w:sz w:val="20"/>
          <w:szCs w:val="20"/>
        </w:rPr>
        <w:t xml:space="preserve">— </w:t>
      </w:r>
      <w:r>
        <w:rPr>
          <w:i/>
          <w:iCs/>
          <w:color w:val="808080"/>
          <w:sz w:val="20"/>
          <w:szCs w:val="20"/>
        </w:rPr>
        <w:t>End of Report —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spacing w:before="100" w:after="0"/>
      <w:jc w:val="center"/>
      <w:rPr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sz w:val="18"/>
        <w:szCs w:val="18"/>
        <w:color w:val="808080"/>
      </w:rPr>
      <w:instrText xml:space="preserve"> PAGE </w:instrText>
    </w:r>
    <w:r>
      <w:rPr>
        <w:sz w:val="18"/>
        <w:szCs w:val="18"/>
        <w:color w:val="808080"/>
      </w:rPr>
      <w:fldChar w:fldCharType="separate"/>
    </w:r>
    <w:r>
      <w:rPr>
        <w:sz w:val="18"/>
        <w:szCs w:val="18"/>
        <w:color w:val="808080"/>
      </w:rPr>
      <w:t>9</w:t>
    </w:r>
    <w:r>
      <w:rPr>
        <w:sz w:val="18"/>
        <w:szCs w:val="18"/>
        <w:color w:val="808080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sz w:val="18"/>
        <w:szCs w:val="18"/>
        <w:color w:val="808080"/>
      </w:rPr>
      <w:instrText xml:space="preserve"> NUMPAGES </w:instrText>
    </w:r>
    <w:r>
      <w:rPr>
        <w:sz w:val="18"/>
        <w:szCs w:val="18"/>
        <w:color w:val="808080"/>
      </w:rPr>
      <w:fldChar w:fldCharType="separate"/>
    </w:r>
    <w:r>
      <w:rPr>
        <w:sz w:val="18"/>
        <w:szCs w:val="18"/>
        <w:color w:val="808080"/>
      </w:rPr>
      <w:t>9</w:t>
    </w:r>
    <w:r>
      <w:rPr>
        <w:sz w:val="18"/>
        <w:szCs w:val="18"/>
        <w:color w:val="80808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spacing w:before="100" w:after="0"/>
      <w:jc w:val="center"/>
      <w:rPr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sz w:val="18"/>
        <w:szCs w:val="18"/>
        <w:color w:val="808080"/>
      </w:rPr>
      <w:instrText xml:space="preserve"> PAGE </w:instrText>
    </w:r>
    <w:r>
      <w:rPr>
        <w:sz w:val="18"/>
        <w:szCs w:val="18"/>
        <w:color w:val="808080"/>
      </w:rPr>
      <w:fldChar w:fldCharType="separate"/>
    </w:r>
    <w:r>
      <w:rPr>
        <w:sz w:val="18"/>
        <w:szCs w:val="18"/>
        <w:color w:val="808080"/>
      </w:rPr>
      <w:t>9</w:t>
    </w:r>
    <w:r>
      <w:rPr>
        <w:sz w:val="18"/>
        <w:szCs w:val="18"/>
        <w:color w:val="808080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sz w:val="18"/>
        <w:szCs w:val="18"/>
        <w:color w:val="808080"/>
      </w:rPr>
      <w:instrText xml:space="preserve"> NUMPAGES </w:instrText>
    </w:r>
    <w:r>
      <w:rPr>
        <w:sz w:val="18"/>
        <w:szCs w:val="18"/>
        <w:color w:val="808080"/>
      </w:rPr>
      <w:fldChar w:fldCharType="separate"/>
    </w:r>
    <w:r>
      <w:rPr>
        <w:sz w:val="18"/>
        <w:szCs w:val="18"/>
        <w:color w:val="808080"/>
      </w:rPr>
      <w:t>9</w:t>
    </w:r>
    <w:r>
      <w:rPr>
        <w:sz w:val="18"/>
        <w:szCs w:val="18"/>
        <w:color w:val="80808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4E79"/>
      </w:pBdr>
      <w:spacing w:before="0" w:after="200"/>
      <w:rPr/>
    </w:pPr>
    <w:r>
      <w:rPr>
        <w:i/>
        <w:iCs/>
        <w:color w:val="1F4E79"/>
        <w:sz w:val="20"/>
        <w:szCs w:val="20"/>
      </w:rPr>
      <w:t>Network Security &amp; Protocol Analysis — Case Study Report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4E79"/>
      </w:pBdr>
      <w:spacing w:before="0" w:after="200"/>
      <w:rPr/>
    </w:pPr>
    <w:r>
      <w:rPr>
        <w:i/>
        <w:iCs/>
        <w:color w:val="1F4E79"/>
        <w:sz w:val="20"/>
        <w:szCs w:val="20"/>
      </w:rPr>
      <w:t>Network Security &amp; Protocol Analysis — Case Study Report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uiPriority w:val="9"/>
    <w:qFormat/>
    <w:pPr>
      <w:widowControl/>
      <w:bidi w:val="0"/>
      <w:spacing w:before="400" w:after="200"/>
      <w:jc w:val="left"/>
      <w:outlineLvl w:val="0"/>
    </w:pPr>
    <w:rPr>
      <w:rFonts w:ascii="Arial" w:hAnsi="Arial" w:eastAsia="Arial" w:cs="Arial"/>
      <w:b/>
      <w:bCs/>
      <w:color w:val="1F4E79"/>
      <w:kern w:val="0"/>
      <w:sz w:val="34"/>
      <w:szCs w:val="34"/>
      <w:lang w:val="en-IN" w:eastAsia="en-IN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300" w:after="160"/>
      <w:jc w:val="left"/>
      <w:outlineLvl w:val="1"/>
    </w:pPr>
    <w:rPr>
      <w:rFonts w:ascii="Arial" w:hAnsi="Arial" w:eastAsia="Arial" w:cs="Arial"/>
      <w:b/>
      <w:bCs/>
      <w:color w:val="2E75B6"/>
      <w:kern w:val="0"/>
      <w:sz w:val="28"/>
      <w:szCs w:val="28"/>
      <w:lang w:val="en-IN" w:eastAsia="en-IN" w:bidi="ar-SA"/>
    </w:rPr>
  </w:style>
  <w:style w:type="paragraph" w:styleId="Heading3">
    <w:name w:val="heading 3"/>
    <w:uiPriority w:val="9"/>
    <w:unhideWhenUsed/>
    <w:qFormat/>
    <w:pPr>
      <w:widowControl/>
      <w:bidi w:val="0"/>
      <w:spacing w:before="200" w:after="120"/>
      <w:jc w:val="left"/>
      <w:outlineLvl w:val="2"/>
    </w:pPr>
    <w:rPr>
      <w:rFonts w:ascii="Arial" w:hAnsi="Arial" w:eastAsia="Arial" w:cs="Arial"/>
      <w:b/>
      <w:bCs/>
      <w:color w:val="404040"/>
      <w:kern w:val="0"/>
      <w:sz w:val="24"/>
      <w:szCs w:val="24"/>
      <w:lang w:val="en-IN" w:eastAsia="en-IN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n-IN" w:eastAsia="en-IN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en-IN" w:eastAsia="en-IN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en-IN" w:eastAsia="en-IN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en-IN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en-IN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en-IN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en-I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LibreOfficeDev/24.8.7.2.0$Android_AARCH64 LibreOffice_project/</Application>
  <AppVersion>15.0000</AppVersion>
  <Pages>9</Pages>
  <Words>1834</Words>
  <Characters>11435</Characters>
  <CharactersWithSpaces>13021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2026-04-23T16:01:00Z</dcterms:created>
  <dc:creator>Lavansh</dc:creator>
  <dc:description/>
  <dc:language>en-US</dc:language>
  <cp:lastModifiedBy>Lavansh yadav</cp:lastModifiedBy>
  <dcterms:modified xsi:type="dcterms:W3CDTF">2026-04-23T16:02:00Z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