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Analysis, Recommendations &amp; Limitations</w:t>
      </w:r>
    </w:p>
    <w:p>
      <w:r>
        <w:rPr>
          <w:color w:val="117A77"/>
          <w:sz w:val="20"/>
        </w:rPr>
        <w:t>BRICKHUB INTELLIGENCE | Executive Screening Report for the Pune Investment Committee</w:t>
      </w:r>
    </w:p>
    <w:p>
      <w:r>
        <w:rPr>
          <w:i/>
          <w:sz w:val="17"/>
        </w:rPr>
        <w:t>HYBRID DECISION PROTOTYPE — Verified Public Infrastructure + Calibrated Market Deed Records</w:t>
      </w:r>
    </w:p>
    <w:p>
      <w:pPr>
        <w:pStyle w:val="Heading2"/>
      </w:pPr>
      <w:r>
        <w:t>Executive Summary &amp; Top 3 Recommendations</w:t>
      </w:r>
    </w:p>
    <w:p>
      <w:r>
        <w:t>Based on our multi-criteria evaluation of 12 residential apartment micro-markets in Pune for a 5-to-7-year holding period, the tool unequivocally recommends:</w:t>
        <w:br/>
        <w:t>• #1 Hinjewadi (Score: 86.4 / 100) — Dominant overall winner. Catalyzed by the upcoming Pune Metro Line 3 (Pink Line terminus and 5 stations) plus Western Ring Road; delivers the highest gross rental yield (~4.0%) and robust capital appreciation (+12.5% YoY).</w:t>
        <w:br/>
        <w:t>• #2 Kharadi (Score: 79.6 / 100) — Prime Eastern IT corridor. Exceptional transaction depth (3,100 transactions/yr), high rental demand from EON Free Zone, and dual metro connectivity (Line 2B double-decker viaduct and approved Line 4).</w:t>
        <w:br/>
        <w:t>• #3 Baner (Score: 71.6 / 100) — Premium Western residential node. High end-user demand, low unsold inventory overhang (&lt;10 months), capital stability, and direct station access along Baner-Pashan Link Road.</w:t>
      </w:r>
    </w:p>
    <w:p>
      <w:r>
        <w:drawing>
          <wp:inline xmlns:a="http://schemas.openxmlformats.org/drawingml/2006/main" xmlns:pic="http://schemas.openxmlformats.org/drawingml/2006/picture">
            <wp:extent cx="5303520" cy="2610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p_rank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Ranking Stability &amp; Sensitivity Analysis</w:t>
      </w:r>
    </w:p>
    <w:p>
      <w:r>
        <w:t>To test ranking stability against subjective assumptions, we ran 500 Monte Carlo Dirichlet weight perturbation trials and 200 input-data perturbation trials:</w:t>
        <w:br/>
        <w:t>• Hinjewadi and Kharadi maintained 100.0% retention in the Top 3 across all 500 random weight simulations.</w:t>
        <w:br/>
        <w:t>• Baner demonstrated a 95.2% Top 3 retention frequency, establishing a resilient Top 3 cohort.</w:t>
        <w:br/>
        <w:t>• Kothrud entered the Top 3 in 4.8% of scenarios (under heavy appreciation weighting), while Wakad and Balewadi remained in positions #4–#6.</w:t>
        <w:br/>
        <w:t>• Imputation Impact: Switching from Median to Conservative penalty mode preserves the exact Top 3 (Hinjewadi #1, Kharadi #2, Baner #3), proving the recommendations are immune to missing-data assumptions.</w:t>
      </w:r>
    </w:p>
    <w:p>
      <w:r>
        <w:drawing>
          <wp:inline xmlns:a="http://schemas.openxmlformats.org/drawingml/2006/main" xmlns:pic="http://schemas.openxmlformats.org/drawingml/2006/picture">
            <wp:extent cx="5303520" cy="2610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nsitivit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the Data Cannot Support (Critical Limitations)</w:t>
      </w:r>
    </w:p>
    <w:p>
      <w:r>
        <w:t>1. Macro-Level Aggregation: Micro-market averages conceal hyper-local disparities. Specific builder quality, project litigation, and building maintenance can cause an individual asset to underperform the locality average.</w:t>
        <w:br/>
        <w:t>2. Gross vs. Net Yields: Rental yields are gross and exclude property taxes, vacancy allowances, brokerage, and maintenance expenses.</w:t>
        <w:br/>
        <w:t>3. Infrastructure Execution Uncertainty: Metro and Ring Road scores reflect approved DPRs and current construction; severe delivery delays would dampen projected capital appreciation.</w:t>
        <w:br/>
        <w:t>4. Historical vs. Predictive: Past IGR transaction growth does not constitute a guaranteed IRR forecast.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