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Note | Pune Residential Apartment Ranking Tool</w:t>
      </w:r>
    </w:p>
    <w:p>
      <w:r>
        <w:rPr>
          <w:color w:val="117A77"/>
          <w:sz w:val="20"/>
        </w:rPr>
        <w:t>BRICKHUB INTELLIGENCE | Pre-Build Architecture &amp; Methodological Blueprint</w:t>
      </w:r>
    </w:p>
    <w:p>
      <w:r>
        <w:rPr>
          <w:i/>
          <w:sz w:val="17"/>
        </w:rPr>
        <w:t>HYBRID DECISION PROTOTYPE — Verified Public Infrastructure + Calibrated Market Deed Records</w:t>
      </w:r>
    </w:p>
    <w:p>
      <w:pPr>
        <w:pStyle w:val="Heading2"/>
      </w:pPr>
      <w:r>
        <w:t>1. Decision Context &amp; User Persona</w:t>
      </w:r>
    </w:p>
    <w:p>
      <w:r>
        <w:t>This intelligence tool supports an institutional Investment Committee at a mid-sized real estate private equity firm. The committee must decide which Pune micro-markets to prioritize for capital deployment. The target investor persona seeks a 5-to-7-year buy-and-hold residential apartment investment, demanding an optimal blend of medium-term capital appreciation and recurring gross rental income. The tool acts as a disciplined, repeatable first-stage screening engine.</w:t>
      </w:r>
    </w:p>
    <w:p>
      <w:pPr>
        <w:pStyle w:val="Heading2"/>
      </w:pPr>
      <w:r>
        <w:t>2. Coverage Scope &amp; Locality Selection Rationale</w:t>
      </w:r>
    </w:p>
    <w:p>
      <w:r>
        <w:t>The scope covers exactly 12 Pune micro-markets: Baner, Wakad, Kharadi, Hadapsar, Hinjewadi, Balewadi, Bavdhan, Aundh, Wagholi, Pimple Saudagar, Kothrud, and Undri. This selection provides geographic diversification across the Western IT corridor (Hinjewadi, Wakad, Baner, Balewadi), Eastern commercial corridor (Kharadi, Hadapsar, Wagholi), mature prime central-west nodes (Kothrud, Aundh), and developing southern/western peripheries (Undri, Bavdhan). It captures both mature and emerging high-growth catchments.</w:t>
      </w:r>
    </w:p>
    <w:p>
      <w:pPr>
        <w:pStyle w:val="Heading2"/>
      </w:pPr>
      <w:r>
        <w:t>3. Indicator Selection Rationale</w:t>
      </w:r>
    </w:p>
    <w:p>
      <w:r>
        <w:t>Seven core metrics were chosen to mirror the investor mandate:</w:t>
        <w:br/>
        <w:t>• YoY Transaction Price Growth (25%): Direct gauge of historical capital appreciation momentum.</w:t>
        <w:br/>
        <w:t>• Demand-to-Supply Absorption Ratio (20%): Ratio of 12M units sold to units launched, identifying areas with structural undersupply.</w:t>
        <w:br/>
        <w:t>• Gross Rental Yield (20%): Annual rental cash flow return on invested capital.</w:t>
        <w:br/>
        <w:t>• Upcoming Infrastructure Catalysts (15%): Forward-looking rerate potential driven by verified transit infrastructure (Metro Line 3, Ring Road).</w:t>
        <w:br/>
        <w:t>• Months of Unsold Inventory (10%): Lower overhang protects against developer price-cutting.</w:t>
        <w:br/>
        <w:t>• Transaction Liquidity (5%): Secondary market sales velocity ensuring an easy exit.</w:t>
        <w:br/>
        <w:t>• Risk &amp; Valuation Affordability (5%): Downside protection penalizing developer litigation and excessive price premiums.</w:t>
      </w:r>
    </w:p>
    <w:p>
      <w:pPr>
        <w:pStyle w:val="Heading2"/>
      </w:pPr>
      <w:r>
        <w:t>4. Combination Method Justification</w:t>
      </w:r>
    </w:p>
    <w:p>
      <w:r>
        <w:t>We employ a Multi-Criteria Decision Analysis (MCDA) framework with indicator-wise Min-Max normalization (0–100 scale) and linear weighted sum scoring. For small sample sizes (N = 12), black-box machine learning or unsupervised clustering models risk severe overfitting and fail to reflect subjective committee trade-offs. A weighted linear model provides complete auditability, transparent sensitivity testing, and direct scenario alignment.</w:t>
      </w:r>
    </w:p>
    <w:p>
      <w:pPr>
        <w:pStyle w:val="Heading2"/>
      </w:pPr>
      <w:r>
        <w:t>5. Anticipated Data Issues &amp; Planned Handling</w:t>
      </w:r>
    </w:p>
    <w:p>
      <w:r>
        <w:t>• Missing Data: Handled deliberately via three selectable strategies: Median imputation (neutral baseline), Conservative 10th/90th percentile imputation (stress-test penalty), and Complete-case analysis.</w:t>
        <w:br/>
        <w:t>• Data Calibration: Real-world public benchmarks (MahaRERA quarterly filings, IGR rate trends, PMRDA updates) anchor macro indicators; granular transaction rows are calibrated to reflect these observed market medians without violating API scraping constraints.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