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Method Note | Data Pipeline, Formulas &amp; Reproducibility</w:t>
      </w:r>
    </w:p>
    <w:p>
      <w:r>
        <w:rPr>
          <w:color w:val="117A77"/>
          <w:sz w:val="20"/>
        </w:rPr>
        <w:t>BRICKHUB INTELLIGENCE | Data Governance, Verification Protocols &amp; Technical Specifications</w:t>
      </w:r>
    </w:p>
    <w:p>
      <w:r>
        <w:rPr>
          <w:i/>
          <w:sz w:val="17"/>
        </w:rPr>
        <w:t>HYBRID DECISION PROTOTYPE — Verified Public Infrastructure + Calibrated Market Deed Records</w:t>
      </w:r>
    </w:p>
    <w:p>
      <w:pPr>
        <w:pStyle w:val="Heading2"/>
      </w:pPr>
      <w:r>
        <w:t>1. End-to-End Pipeline</w:t>
      </w:r>
    </w:p>
    <w:p>
      <w:r>
        <w:t>Raw Public Records (IGR, MahaRERA, Rental, Transit Authorities) → Ingestion &amp; Schema Validation → 7 Derived Indicator Calculations → Missing Data Imputation → Min-Max Normalization (0–100) → Multi-Criteria Weighted Sum → Monte Carlo &amp; Leave-One-Out Stress Testing → Final Micro-Market Ranking.</w:t>
      </w:r>
    </w:p>
    <w:p>
      <w:pPr>
        <w:pStyle w:val="Heading2"/>
      </w:pPr>
      <w:r>
        <w:t>2. Mathematical Formulations</w:t>
      </w:r>
    </w:p>
    <w:p>
      <w:r>
        <w:t>• YoY Price Growth (%) = 100 × (Median Rate Current 12M / Median Rate Prior 12M − 1)</w:t>
        <w:br/>
        <w:t>• Sales-to-Launch Ratio = Units Sold 12M / Units Launched 12M</w:t>
        <w:br/>
        <w:t>• Gross Rental Yield (%) = 100 × (Monthly Rent × 12) / (Median Rate ₹/sqft × Representative Area sqft)</w:t>
        <w:br/>
        <w:t>• Months of Inventory = 12 × Unsold Inventory / Annual Units Sold (Inverted: lower overhang gets higher score)</w:t>
        <w:br/>
        <w:t>• Transaction Liquidity Score = 70% × min(100 × Txn12m / 3000, 100) + 30% × clip(50 + 100 × (Txn12m / Txn_prev − 1), 0, 100)</w:t>
        <w:br/>
        <w:t>• Risk &amp; Affordability Score = 70% × (100 − Risk Score) + 30% × clip(50 − 1.5 × Premium To Peer %, 0, 100)</w:t>
      </w:r>
    </w:p>
    <w:p>
      <w:pPr>
        <w:pStyle w:val="Heading2"/>
      </w:pPr>
      <w:r>
        <w:t>3. Normalization &amp; Missing Data Mechanics</w:t>
      </w:r>
    </w:p>
    <w:p>
      <w:r>
        <w:t>Each metric is normalized across eligible markets: Score_norm = 100 × (x − min) / (max − min). For unfavorable metrics (inventory overhang), score is inverted: 100 × (max − x) / (max − min). Constant metrics default to 50. Three missing-data modes are implemented: Median imputation (baseline), Conservative (10th percentile for positives, 90th for negatives), and Complete-case (drops incomplete markets).</w:t>
      </w:r>
    </w:p>
    <w:p>
      <w:pPr>
        <w:pStyle w:val="Heading2"/>
      </w:pPr>
      <w:r>
        <w:t>4. Verification &amp; QA Checks</w:t>
      </w:r>
    </w:p>
    <w:p>
      <w:r>
        <w:t>Automated unit testing via pytest checks: deterministic reproducibility (seed 42), exact mathematical equations, boundary checks (negative prices, zero denominators), non-negative weights summing to 100%, and risk inversion validation (higher risk always strictly decreases composite score).</w:t>
      </w:r>
    </w:p>
    <w:p>
      <w:pPr>
        <w:pStyle w:val="Heading2"/>
      </w:pPr>
      <w:r>
        <w:t>5. AI Tools Disclosure</w:t>
      </w:r>
    </w:p>
    <w:p>
      <w:r>
        <w:t>Per assignment instructions: AI assistants and web search tools were utilized to extract public infrastructure progress reports (PMRDA Line 3 and Maha Metro updates), format boilerplate Streamlit UI code, structure unit tests, and compile long-format provenance tables. All indicator selection, weights, scoring logic, and sensitivity analyses were human-supervised.</w:t>
      </w:r>
    </w:p>
    <w:sectPr w:rsidR="00FC693F" w:rsidRPr="0006063C" w:rsidSect="00034616">
      <w:pgSz w:w="12240" w:h="15840"/>
      <w:pgMar w:top="864" w:right="1008" w:bottom="864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