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15-Minute Committee Walkthrough | Speaker Notes</w:t>
      </w:r>
    </w:p>
    <w:p>
      <w:r>
        <w:rPr>
          <w:color w:val="117A77"/>
          <w:sz w:val="20"/>
        </w:rPr>
        <w:t>BRICKHUB INTELLIGENCE | Presentation Script &amp; Anticipated Q&amp;A Guide</w:t>
      </w:r>
    </w:p>
    <w:p>
      <w:r>
        <w:rPr>
          <w:i/>
          <w:sz w:val="17"/>
        </w:rPr>
        <w:t>HYBRID DECISION PROTOTYPE — Verified Public Infrastructure + Calibrated Market Deed Records</w:t>
      </w:r>
    </w:p>
    <w:p>
      <w:pPr>
        <w:pStyle w:val="Heading2"/>
      </w:pPr>
      <w:r>
        <w:t>0:00–2:00 | Problem Framing &amp; Scope</w:t>
      </w:r>
    </w:p>
    <w:p>
      <w:r>
        <w:t>Introduce the scenario: institutional screening of 12 Pune apartment micro-markets for a 5-to-7-year hold. Emphasize the mandate: balancing capital appreciation with gross rental yield, backed by rigorous sensitivity testing.</w:t>
      </w:r>
    </w:p>
    <w:p>
      <w:pPr>
        <w:pStyle w:val="Heading2"/>
      </w:pPr>
      <w:r>
        <w:t>2:00–4:00 | Data Sourcing &amp; Hybrid Architecture</w:t>
      </w:r>
    </w:p>
    <w:p>
      <w:r>
        <w:t>Explain our transparent data collection: Infrastructure is 100% verified from official authorities (PMRDA, Maha Metro). Price and rental benchmarks are anchored to published market reports. Raw transaction deeds are calibrated to test the ingestion pipeline without violating bulk scraping restrictions. Show the full provenance catalog in public_evidence_template.csv.</w:t>
      </w:r>
    </w:p>
    <w:p>
      <w:pPr>
        <w:pStyle w:val="Heading2"/>
      </w:pPr>
      <w:r>
        <w:t>4:00–7:00 | Scoring Engine &amp; Model Transparency</w:t>
      </w:r>
    </w:p>
    <w:p>
      <w:r>
        <w:t>Walk through the 7 weighted indicators. Explain why a weighted linear score with Min-Max scaling was chosen over black-box clustering for small-N data. Demonstrate how risk and inventory overhang are inverted so that lower risk always yields a higher score.</w:t>
      </w:r>
    </w:p>
    <w:p>
      <w:pPr>
        <w:pStyle w:val="Heading2"/>
      </w:pPr>
      <w:r>
        <w:t>7:00–10:00 | Robustness &amp; Sensitivity Lab</w:t>
      </w:r>
    </w:p>
    <w:p>
      <w:r>
        <w:t>Demonstrate the 500-trial Dirichlet Monte Carlo simulation. Show that Hinjewadi and Kharadi have 100% Top-3 persistence, and Baner has 95.2%. Switch missing-data strategies between Median and Conservative to show the Top 3 remains unaffected.</w:t>
      </w:r>
    </w:p>
    <w:p>
      <w:pPr>
        <w:pStyle w:val="Heading2"/>
      </w:pPr>
      <w:r>
        <w:t>10:00–12:00 | Top 3 Investment Case &amp; Trade-offs</w:t>
      </w:r>
    </w:p>
    <w:p>
      <w:r>
        <w:t>Detail the investment thesis: Hinjewadi (yield + transit rerating), Kharadi (liquidity + IT absorption), Baner (inventory health + prime stability). Explain why pure cheapness is not rewarded.</w:t>
      </w:r>
    </w:p>
    <w:p>
      <w:pPr>
        <w:pStyle w:val="Heading2"/>
      </w:pPr>
      <w:r>
        <w:t>12:00–15:00 | Technical Trade-off for a Non-Technical Partner &amp; Q&amp;A</w:t>
      </w:r>
    </w:p>
    <w:p>
      <w:r>
        <w:t>Explain the primary technical trade-off: Choosing a transparent, additive Multi-Criteria Scoring Model over Machine Learning / Unsupervised Clustering. For 12 markets, ML creates an uninterpretable black box prone to overfitting; MCDA provides full governance and auditable trade-offs. Answer anticipated questions on data gaps and execution risks.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